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48" w:afterLines="400" w:line="360" w:lineRule="auto"/>
        <w:jc w:val="center"/>
        <w:rPr>
          <w:rFonts w:hint="eastAsia" w:ascii="宋体" w:hAnsi="宋体" w:eastAsia="宋体"/>
          <w:b/>
          <w:bCs/>
          <w:sz w:val="52"/>
          <w:szCs w:val="52"/>
        </w:rPr>
      </w:pPr>
    </w:p>
    <w:p>
      <w:pPr>
        <w:spacing w:after="1248" w:afterLines="400" w:line="360" w:lineRule="auto"/>
        <w:jc w:val="center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</w:rPr>
        <w:t>广州市</w:t>
      </w:r>
      <w:r>
        <w:rPr>
          <w:rFonts w:hint="eastAsia" w:ascii="宋体" w:hAnsi="宋体" w:eastAsia="宋体"/>
          <w:b/>
          <w:bCs/>
          <w:sz w:val="52"/>
          <w:szCs w:val="52"/>
          <w:lang w:eastAsia="zh-CN"/>
        </w:rPr>
        <w:t>注销</w:t>
      </w:r>
      <w:bookmarkStart w:id="37" w:name="_GoBack"/>
      <w:bookmarkEnd w:id="37"/>
      <w:r>
        <w:rPr>
          <w:rFonts w:hint="eastAsia" w:ascii="宋体" w:hAnsi="宋体" w:eastAsia="宋体"/>
          <w:b/>
          <w:bCs/>
          <w:sz w:val="52"/>
          <w:szCs w:val="52"/>
        </w:rPr>
        <w:t>企业一网通平台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注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销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登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记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作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手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册</w:t>
      </w:r>
    </w:p>
    <w:p>
      <w:pPr>
        <w:pStyle w:val="20"/>
        <w:jc w:val="center"/>
        <w:rPr>
          <w:rFonts w:hint="default" w:ascii="黑体" w:hAnsi="黑体" w:eastAsia="黑体"/>
          <w:b/>
          <w:sz w:val="30"/>
        </w:rPr>
      </w:pPr>
    </w:p>
    <w:p>
      <w:pPr>
        <w:pStyle w:val="20"/>
        <w:jc w:val="center"/>
        <w:rPr>
          <w:rFonts w:hint="default" w:ascii="黑体" w:hAnsi="黑体" w:eastAsia="黑体"/>
          <w:b/>
          <w:sz w:val="30"/>
        </w:rPr>
      </w:pPr>
    </w:p>
    <w:p>
      <w:pPr>
        <w:pStyle w:val="20"/>
        <w:jc w:val="center"/>
        <w:rPr>
          <w:rFonts w:hint="default" w:ascii="黑体" w:hAnsi="黑体" w:eastAsia="黑体"/>
          <w:b/>
          <w:sz w:val="30"/>
        </w:rPr>
      </w:pPr>
    </w:p>
    <w:p>
      <w:pPr>
        <w:pStyle w:val="20"/>
        <w:spacing w:after="6240" w:afterLines="2000"/>
        <w:jc w:val="center"/>
        <w:rPr>
          <w:rFonts w:hint="default"/>
          <w:b/>
          <w:bCs/>
          <w:sz w:val="44"/>
          <w:szCs w:val="44"/>
        </w:rPr>
      </w:pPr>
      <w:r>
        <w:rPr>
          <w:rFonts w:ascii="黑体" w:hAnsi="黑体" w:eastAsia="黑体"/>
          <w:b/>
          <w:sz w:val="30"/>
        </w:rPr>
        <w:t>2020年</w:t>
      </w:r>
      <w:r>
        <w:rPr>
          <w:rFonts w:hint="eastAsia" w:ascii="黑体" w:hAnsi="黑体" w:eastAsia="黑体"/>
          <w:b/>
          <w:sz w:val="30"/>
          <w:lang w:val="en-US" w:eastAsia="zh-CN"/>
        </w:rPr>
        <w:t>7</w:t>
      </w:r>
      <w:r>
        <w:rPr>
          <w:rFonts w:ascii="黑体" w:hAnsi="黑体" w:eastAsia="黑体"/>
          <w:b/>
          <w:sz w:val="30"/>
        </w:rPr>
        <w:t>月</w:t>
      </w:r>
    </w:p>
    <w:p>
      <w:pPr>
        <w:rPr>
          <w:rFonts w:ascii="宋体" w:hAnsi="宋体" w:cs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</w:rPr>
        <w:id w:val="14748286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_Toc17156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登录规则</w:t>
          </w:r>
          <w:r>
            <w:tab/>
          </w:r>
          <w:r>
            <w:fldChar w:fldCharType="begin"/>
          </w:r>
          <w:r>
            <w:instrText xml:space="preserve"> PAGEREF _Toc17156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_Toc28606 </w:instrText>
          </w:r>
          <w: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广州一网通注销专区</w:t>
          </w:r>
          <w:r>
            <w:tab/>
          </w:r>
          <w:r>
            <w:fldChar w:fldCharType="begin"/>
          </w:r>
          <w:r>
            <w:instrText xml:space="preserve"> PAGEREF _Toc28606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_Toc8338 </w:instrText>
          </w:r>
          <w:r>
            <w:fldChar w:fldCharType="separate"/>
          </w:r>
          <w:r>
            <w:rPr>
              <w:rFonts w:hint="default"/>
            </w:rPr>
            <w:t xml:space="preserve">1.1.1. </w:t>
          </w:r>
          <w:r>
            <w:rPr>
              <w:rFonts w:hint="eastAsia"/>
            </w:rPr>
            <w:t>一般注销</w:t>
          </w:r>
          <w:r>
            <w:tab/>
          </w:r>
          <w:r>
            <w:fldChar w:fldCharType="begin"/>
          </w:r>
          <w:r>
            <w:instrText xml:space="preserve"> PAGEREF _Toc8338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_Toc26300 </w:instrText>
          </w:r>
          <w:r>
            <w:fldChar w:fldCharType="separate"/>
          </w:r>
          <w:r>
            <w:rPr>
              <w:rFonts w:hint="default"/>
            </w:rPr>
            <w:t xml:space="preserve">1.1.2. </w:t>
          </w:r>
          <w:r>
            <w:rPr>
              <w:rFonts w:hint="eastAsia"/>
            </w:rPr>
            <w:t>简易注销</w:t>
          </w:r>
          <w:r>
            <w:tab/>
          </w:r>
          <w:r>
            <w:fldChar w:fldCharType="begin"/>
          </w:r>
          <w:r>
            <w:instrText xml:space="preserve"> PAGEREF _Toc26300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_Toc20798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业务操作步骤</w:t>
          </w:r>
          <w:r>
            <w:tab/>
          </w:r>
          <w:r>
            <w:fldChar w:fldCharType="begin"/>
          </w:r>
          <w:r>
            <w:instrText xml:space="preserve"> PAGEREF _Toc20798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_Toc17893 </w:instrText>
          </w:r>
          <w:r>
            <w:fldChar w:fldCharType="separate"/>
          </w:r>
          <w:r>
            <w:rPr>
              <w:rFonts w:hint="default"/>
            </w:rPr>
            <w:t xml:space="preserve">2.1. </w:t>
          </w:r>
          <w:r>
            <w:rPr>
              <w:rFonts w:hint="eastAsia"/>
            </w:rPr>
            <w:t>有限公司一般注销业务操作</w:t>
          </w:r>
          <w:r>
            <w:tab/>
          </w:r>
          <w:r>
            <w:fldChar w:fldCharType="begin"/>
          </w:r>
          <w:r>
            <w:instrText xml:space="preserve"> PAGEREF _Toc17893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_Toc18906 </w:instrText>
          </w:r>
          <w:r>
            <w:fldChar w:fldCharType="separate"/>
          </w:r>
          <w:r>
            <w:rPr>
              <w:rFonts w:hint="default"/>
            </w:rPr>
            <w:t xml:space="preserve">2.1.1.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_Toc18906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_Toc23790 </w:instrText>
          </w:r>
          <w:r>
            <w:fldChar w:fldCharType="separate"/>
          </w:r>
          <w:r>
            <w:rPr>
              <w:rFonts w:hint="default"/>
            </w:rPr>
            <w:t xml:space="preserve">2.1.2.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_Toc23790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_Toc14535 </w:instrText>
          </w:r>
          <w:r>
            <w:fldChar w:fldCharType="separate"/>
          </w:r>
          <w:r>
            <w:rPr>
              <w:rFonts w:hint="default"/>
            </w:rPr>
            <w:t xml:space="preserve">2.1.3.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_Toc14535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_Toc20525 </w:instrText>
          </w:r>
          <w:r>
            <w:fldChar w:fldCharType="separate"/>
          </w:r>
          <w:r>
            <w:rPr>
              <w:rFonts w:hint="default"/>
            </w:rPr>
            <w:t xml:space="preserve">2.1.4. </w:t>
          </w:r>
          <w:r>
            <w:rPr>
              <w:rFonts w:hint="eastAsia"/>
            </w:rPr>
            <w:t>签名/提交</w:t>
          </w:r>
          <w:r>
            <w:tab/>
          </w:r>
          <w:r>
            <w:fldChar w:fldCharType="begin"/>
          </w:r>
          <w:r>
            <w:instrText xml:space="preserve"> PAGEREF _Toc20525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_Toc2712 </w:instrText>
          </w:r>
          <w:r>
            <w:fldChar w:fldCharType="separate"/>
          </w:r>
          <w:r>
            <w:rPr>
              <w:rFonts w:hint="default"/>
            </w:rPr>
            <w:t xml:space="preserve">2.2. </w:t>
          </w:r>
          <w:r>
            <w:rPr>
              <w:rFonts w:hint="eastAsia"/>
            </w:rPr>
            <w:t>分公司一般注销业务操作</w:t>
          </w:r>
          <w:r>
            <w:tab/>
          </w:r>
          <w:r>
            <w:fldChar w:fldCharType="begin"/>
          </w:r>
          <w:r>
            <w:instrText xml:space="preserve"> PAGEREF _Toc2712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_Toc5428 </w:instrText>
          </w:r>
          <w:r>
            <w:fldChar w:fldCharType="separate"/>
          </w:r>
          <w:r>
            <w:rPr>
              <w:rFonts w:hint="default"/>
            </w:rPr>
            <w:t xml:space="preserve">2.2.1.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_Toc5428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_Toc21685 </w:instrText>
          </w:r>
          <w:r>
            <w:fldChar w:fldCharType="separate"/>
          </w:r>
          <w:r>
            <w:rPr>
              <w:rFonts w:hint="default"/>
            </w:rPr>
            <w:t xml:space="preserve">2.2.2.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_Toc21685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_Toc4452 </w:instrText>
          </w:r>
          <w:r>
            <w:fldChar w:fldCharType="separate"/>
          </w:r>
          <w:r>
            <w:rPr>
              <w:rFonts w:hint="default"/>
            </w:rPr>
            <w:t xml:space="preserve">2.2.3.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_Toc4452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_Toc24112 </w:instrText>
          </w:r>
          <w:r>
            <w:fldChar w:fldCharType="separate"/>
          </w:r>
          <w:r>
            <w:rPr>
              <w:rFonts w:hint="default"/>
            </w:rPr>
            <w:t xml:space="preserve">2.2.4. </w:t>
          </w:r>
          <w:r>
            <w:rPr>
              <w:rFonts w:hint="eastAsia"/>
            </w:rPr>
            <w:t>签名/提交</w:t>
          </w:r>
          <w:r>
            <w:tab/>
          </w:r>
          <w:r>
            <w:fldChar w:fldCharType="begin"/>
          </w:r>
          <w:r>
            <w:instrText xml:space="preserve"> PAGEREF _Toc24112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_Toc20979 </w:instrText>
          </w:r>
          <w:r>
            <w:fldChar w:fldCharType="separate"/>
          </w:r>
          <w:r>
            <w:rPr>
              <w:rFonts w:hint="default"/>
            </w:rPr>
            <w:t xml:space="preserve">2.3. </w:t>
          </w:r>
          <w:r>
            <w:rPr>
              <w:rFonts w:hint="eastAsia"/>
            </w:rPr>
            <w:t>合伙企业一般注销业务操作</w:t>
          </w:r>
          <w:r>
            <w:tab/>
          </w:r>
          <w:r>
            <w:fldChar w:fldCharType="begin"/>
          </w:r>
          <w:r>
            <w:instrText xml:space="preserve"> PAGEREF _Toc20979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 </w:instrText>
          </w:r>
          <w:r>
            <w:fldChar w:fldCharType="separate"/>
          </w:r>
          <w:r>
            <w:rPr>
              <w:rFonts w:hint="default"/>
            </w:rPr>
            <w:t xml:space="preserve">2.3.1.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_Toc42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_Toc20787 </w:instrText>
          </w:r>
          <w:r>
            <w:fldChar w:fldCharType="separate"/>
          </w:r>
          <w:r>
            <w:rPr>
              <w:rFonts w:hint="default"/>
            </w:rPr>
            <w:t xml:space="preserve">2.3.2.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_Toc20787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_Toc8828 </w:instrText>
          </w:r>
          <w:r>
            <w:fldChar w:fldCharType="separate"/>
          </w:r>
          <w:r>
            <w:rPr>
              <w:rFonts w:hint="default"/>
            </w:rPr>
            <w:t xml:space="preserve">2.3.3.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_Toc8828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_Toc6952 </w:instrText>
          </w:r>
          <w:r>
            <w:fldChar w:fldCharType="separate"/>
          </w:r>
          <w:r>
            <w:rPr>
              <w:rFonts w:hint="default"/>
            </w:rPr>
            <w:t xml:space="preserve">2.3.4. </w:t>
          </w:r>
          <w:r>
            <w:rPr>
              <w:rFonts w:hint="eastAsia"/>
            </w:rPr>
            <w:t>签名/提交</w:t>
          </w:r>
          <w:r>
            <w:tab/>
          </w:r>
          <w:r>
            <w:fldChar w:fldCharType="begin"/>
          </w:r>
          <w:r>
            <w:instrText xml:space="preserve"> PAGEREF _Toc6952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_Toc32379 </w:instrText>
          </w:r>
          <w:r>
            <w:fldChar w:fldCharType="separate"/>
          </w:r>
          <w:r>
            <w:rPr>
              <w:rFonts w:hint="default"/>
            </w:rPr>
            <w:t xml:space="preserve">2.4. </w:t>
          </w:r>
          <w:r>
            <w:rPr>
              <w:rFonts w:hint="eastAsia"/>
            </w:rPr>
            <w:t>个独企业一般注销业务操作</w:t>
          </w:r>
          <w:r>
            <w:tab/>
          </w:r>
          <w:r>
            <w:fldChar w:fldCharType="begin"/>
          </w:r>
          <w:r>
            <w:instrText xml:space="preserve"> PAGEREF _Toc32379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_Toc29611 </w:instrText>
          </w:r>
          <w:r>
            <w:fldChar w:fldCharType="separate"/>
          </w:r>
          <w:r>
            <w:rPr>
              <w:rFonts w:hint="default"/>
            </w:rPr>
            <w:t xml:space="preserve">2.4.1.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_Toc29611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_Toc24851 </w:instrText>
          </w:r>
          <w:r>
            <w:fldChar w:fldCharType="separate"/>
          </w:r>
          <w:r>
            <w:rPr>
              <w:rFonts w:hint="default"/>
            </w:rPr>
            <w:t xml:space="preserve">2.4.2.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_Toc24851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_Toc29346 </w:instrText>
          </w:r>
          <w:r>
            <w:fldChar w:fldCharType="separate"/>
          </w:r>
          <w:r>
            <w:rPr>
              <w:rFonts w:hint="default"/>
            </w:rPr>
            <w:t xml:space="preserve">2.4.3.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_Toc29346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_Toc11921 </w:instrText>
          </w:r>
          <w:r>
            <w:fldChar w:fldCharType="separate"/>
          </w:r>
          <w:r>
            <w:rPr>
              <w:rFonts w:hint="default"/>
            </w:rPr>
            <w:t xml:space="preserve">2.4.4. </w:t>
          </w:r>
          <w:r>
            <w:rPr>
              <w:rFonts w:hint="eastAsia"/>
            </w:rPr>
            <w:t>签名/提交</w:t>
          </w:r>
          <w:r>
            <w:tab/>
          </w:r>
          <w:r>
            <w:fldChar w:fldCharType="begin"/>
          </w:r>
          <w:r>
            <w:instrText xml:space="preserve"> PAGEREF _Toc11921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_Toc28449 </w:instrText>
          </w:r>
          <w:r>
            <w:fldChar w:fldCharType="separate"/>
          </w:r>
          <w:r>
            <w:rPr>
              <w:rFonts w:hint="default"/>
            </w:rPr>
            <w:t xml:space="preserve">2.5. </w:t>
          </w:r>
          <w:r>
            <w:rPr>
              <w:rFonts w:hint="eastAsia"/>
            </w:rPr>
            <w:t>有限公司简易注销业务操作</w:t>
          </w:r>
          <w:r>
            <w:tab/>
          </w:r>
          <w:r>
            <w:fldChar w:fldCharType="begin"/>
          </w:r>
          <w:r>
            <w:instrText xml:space="preserve"> PAGEREF _Toc28449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_Toc15819 </w:instrText>
          </w:r>
          <w:r>
            <w:fldChar w:fldCharType="separate"/>
          </w:r>
          <w:r>
            <w:rPr>
              <w:rFonts w:hint="default"/>
            </w:rPr>
            <w:t xml:space="preserve">2.5.1.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_Toc15819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_Toc6255 </w:instrText>
          </w:r>
          <w:r>
            <w:fldChar w:fldCharType="separate"/>
          </w:r>
          <w:r>
            <w:rPr>
              <w:rFonts w:hint="default"/>
            </w:rPr>
            <w:t xml:space="preserve">2.5.2.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_Toc6255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_Toc3471 </w:instrText>
          </w:r>
          <w:r>
            <w:fldChar w:fldCharType="separate"/>
          </w:r>
          <w:r>
            <w:rPr>
              <w:rFonts w:hint="default"/>
            </w:rPr>
            <w:t xml:space="preserve">2.5.3.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_Toc3471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_Toc21564 </w:instrText>
          </w:r>
          <w:r>
            <w:fldChar w:fldCharType="separate"/>
          </w:r>
          <w:r>
            <w:rPr>
              <w:rFonts w:hint="default"/>
            </w:rPr>
            <w:t xml:space="preserve">2.5.4.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_Toc21564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_Toc11900 </w:instrText>
          </w:r>
          <w:r>
            <w:fldChar w:fldCharType="separate"/>
          </w:r>
          <w:r>
            <w:rPr>
              <w:rFonts w:hint="default"/>
            </w:rPr>
            <w:t xml:space="preserve">2.6. </w:t>
          </w:r>
          <w:r>
            <w:rPr>
              <w:rFonts w:hint="eastAsia"/>
            </w:rPr>
            <w:t>我的办件</w:t>
          </w:r>
          <w:r>
            <w:tab/>
          </w:r>
          <w:r>
            <w:fldChar w:fldCharType="begin"/>
          </w:r>
          <w:r>
            <w:instrText xml:space="preserve"> PAGEREF _Toc11900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_Toc29588 </w:instrText>
          </w:r>
          <w:r>
            <w:fldChar w:fldCharType="separate"/>
          </w:r>
          <w:r>
            <w:rPr>
              <w:rFonts w:hint="default" w:eastAsia="宋体"/>
              <w:bCs w:val="0"/>
            </w:rPr>
            <w:t xml:space="preserve">3. </w:t>
          </w:r>
          <w:r>
            <w:rPr>
              <w:rFonts w:hint="eastAsia" w:eastAsia="宋体" w:cs="宋体"/>
              <w:lang w:eastAsia="zh-CN"/>
            </w:rPr>
            <w:t>权力来源与咨询方式</w:t>
          </w:r>
          <w:r>
            <w:tab/>
          </w:r>
          <w:r>
            <w:fldChar w:fldCharType="begin"/>
          </w:r>
          <w:r>
            <w:instrText xml:space="preserve"> PAGEREF _Toc29588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_Toc19636 </w:instrText>
          </w:r>
          <w: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  <w:lang w:eastAsia="zh-CN"/>
            </w:rPr>
            <w:t>权力来源</w:t>
          </w:r>
          <w:r>
            <w:tab/>
          </w:r>
          <w:r>
            <w:fldChar w:fldCharType="begin"/>
          </w:r>
          <w:r>
            <w:instrText xml:space="preserve"> PAGEREF _Toc19636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_Toc7244 </w:instrText>
          </w:r>
          <w: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  <w:lang w:eastAsia="zh-CN"/>
            </w:rPr>
            <w:t>咨询方式</w:t>
          </w:r>
          <w:r>
            <w:tab/>
          </w:r>
          <w:r>
            <w:fldChar w:fldCharType="begin"/>
          </w:r>
          <w:r>
            <w:instrText xml:space="preserve"> PAGEREF _Toc7244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widowControl/>
            <w:spacing w:after="9360" w:afterLines="3000"/>
          </w:pPr>
          <w:r>
            <w:fldChar w:fldCharType="end"/>
          </w:r>
        </w:p>
      </w:sdtContent>
    </w:sdt>
    <w:p>
      <w:pPr>
        <w:pStyle w:val="2"/>
      </w:pPr>
      <w:bookmarkStart w:id="0" w:name="_Toc17156"/>
      <w:r>
        <w:rPr>
          <w:rFonts w:hint="eastAsia"/>
        </w:rPr>
        <w:t>登录规则</w:t>
      </w:r>
      <w:bookmarkEnd w:id="0"/>
    </w:p>
    <w:p>
      <w:pPr>
        <w:spacing w:line="360" w:lineRule="auto"/>
        <w:ind w:right="21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个人账号：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必须是该企业的法定代表人或联络员</w:t>
      </w:r>
    </w:p>
    <w:p>
      <w:pPr>
        <w:spacing w:line="360" w:lineRule="auto"/>
        <w:ind w:right="21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企业账号：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只能办理该企业；</w:t>
      </w:r>
    </w:p>
    <w:p>
      <w:pPr>
        <w:rPr>
          <w:rFonts w:hint="eastAsia" w:ascii="微软雅黑" w:hAnsi="微软雅黑" w:eastAsia="微软雅黑" w:cs="微软雅黑"/>
          <w:color w:val="111F2C"/>
          <w:sz w:val="16"/>
          <w:szCs w:val="16"/>
          <w:shd w:val="clear" w:color="auto" w:fill="FFFFFF"/>
        </w:rPr>
      </w:pPr>
    </w:p>
    <w:p>
      <w:pPr>
        <w:pStyle w:val="3"/>
      </w:pPr>
      <w:bookmarkStart w:id="1" w:name="_Toc28606"/>
      <w:r>
        <w:rPr>
          <w:rFonts w:hint="eastAsia"/>
        </w:rPr>
        <w:t>广州一网通注销专区</w:t>
      </w:r>
      <w:bookmarkEnd w:id="1"/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（网址https://air.scjgj.gz.gov.cn/）</w:t>
      </w:r>
    </w:p>
    <w:p>
      <w:r>
        <w:rPr>
          <w:b/>
          <w:bCs/>
        </w:rPr>
        <w:drawing>
          <wp:inline distT="0" distB="0" distL="114300" distR="114300">
            <wp:extent cx="5271135" cy="5177155"/>
            <wp:effectExtent l="0" t="0" r="1905" b="4445"/>
            <wp:docPr id="4" name="图片 4" descr="微信图片_2020072715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7271542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" w:name="_Toc8338"/>
      <w:r>
        <w:rPr>
          <w:rFonts w:hint="eastAsia"/>
        </w:rPr>
        <w:t>一般注销</w:t>
      </w:r>
      <w:bookmarkEnd w:id="2"/>
    </w:p>
    <w:p/>
    <w:p>
      <w:r>
        <w:drawing>
          <wp:inline distT="0" distB="0" distL="114300" distR="114300">
            <wp:extent cx="5267960" cy="2841625"/>
            <wp:effectExtent l="0" t="0" r="5080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点击下一步</w:t>
      </w:r>
    </w:p>
    <w:p>
      <w:r>
        <w:drawing>
          <wp:inline distT="0" distB="0" distL="114300" distR="114300">
            <wp:extent cx="5266055" cy="3166110"/>
            <wp:effectExtent l="0" t="0" r="6985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录入信息后点击确认信息</w:t>
      </w:r>
    </w:p>
    <w:p>
      <w:r>
        <w:drawing>
          <wp:inline distT="0" distB="0" distL="114300" distR="114300">
            <wp:extent cx="5274310" cy="2693670"/>
            <wp:effectExtent l="0" t="0" r="1397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068955"/>
            <wp:effectExtent l="0" t="0" r="889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504315"/>
            <wp:effectExtent l="0" t="0" r="571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点击【税务注销登记】</w:t>
      </w:r>
    </w:p>
    <w:p>
      <w:r>
        <w:drawing>
          <wp:inline distT="0" distB="0" distL="114300" distR="114300">
            <wp:extent cx="5266690" cy="1517015"/>
            <wp:effectExtent l="0" t="0" r="6350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点击【商务注销登记】</w:t>
      </w:r>
    </w:p>
    <w:p>
      <w:r>
        <w:drawing>
          <wp:inline distT="0" distB="0" distL="114300" distR="114300">
            <wp:extent cx="5266690" cy="2491105"/>
            <wp:effectExtent l="0" t="0" r="6350" b="82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点击【海关注销登记】</w:t>
      </w:r>
    </w:p>
    <w:p>
      <w:r>
        <w:drawing>
          <wp:inline distT="0" distB="0" distL="114300" distR="114300">
            <wp:extent cx="5271770" cy="2987040"/>
            <wp:effectExtent l="0" t="0" r="127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点击【企业主体注销登记】</w:t>
      </w:r>
    </w:p>
    <w:p>
      <w:r>
        <w:drawing>
          <wp:inline distT="0" distB="0" distL="114300" distR="114300">
            <wp:extent cx="5262880" cy="3049905"/>
            <wp:effectExtent l="0" t="0" r="10160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点击【继续办理】,录入企业统一社会信用代码、企业名称、校验码</w:t>
      </w:r>
    </w:p>
    <w:p>
      <w:r>
        <w:drawing>
          <wp:inline distT="0" distB="0" distL="114300" distR="114300">
            <wp:extent cx="5266690" cy="2930525"/>
            <wp:effectExtent l="0" t="0" r="635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br w:type="page"/>
      </w:r>
    </w:p>
    <w:p>
      <w:pPr>
        <w:pStyle w:val="4"/>
      </w:pPr>
      <w:bookmarkStart w:id="3" w:name="_Toc26300"/>
      <w:r>
        <w:rPr>
          <w:rFonts w:hint="eastAsia"/>
        </w:rPr>
        <w:t>简易注销</w:t>
      </w:r>
      <w:bookmarkEnd w:id="3"/>
    </w:p>
    <w:p>
      <w:r>
        <w:drawing>
          <wp:inline distT="0" distB="0" distL="114300" distR="114300">
            <wp:extent cx="5274310" cy="2898140"/>
            <wp:effectExtent l="0" t="0" r="13970" b="1270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1425575"/>
            <wp:effectExtent l="0" t="0" r="10795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点击下一步</w:t>
      </w:r>
    </w:p>
    <w:p>
      <w:r>
        <w:drawing>
          <wp:inline distT="0" distB="0" distL="114300" distR="114300">
            <wp:extent cx="5267325" cy="3212465"/>
            <wp:effectExtent l="0" t="0" r="5715" b="317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点击确认信息，入企业统一社会信用代码、企业名称、校验码</w:t>
      </w:r>
    </w:p>
    <w:p/>
    <w:p>
      <w:r>
        <w:drawing>
          <wp:inline distT="0" distB="0" distL="114300" distR="114300">
            <wp:extent cx="5274310" cy="2919730"/>
            <wp:effectExtent l="0" t="0" r="13970" b="635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4" w:name="_Toc20798"/>
      <w:r>
        <w:rPr>
          <w:rFonts w:hint="eastAsia"/>
        </w:rPr>
        <w:t>业务操作步骤</w:t>
      </w:r>
      <w:bookmarkEnd w:id="4"/>
    </w:p>
    <w:p>
      <w:pPr>
        <w:pStyle w:val="3"/>
      </w:pPr>
      <w:bookmarkStart w:id="5" w:name="_Toc17893"/>
      <w:r>
        <w:rPr>
          <w:rFonts w:hint="eastAsia"/>
        </w:rPr>
        <w:t>有限公司一般注销业务操作</w:t>
      </w:r>
      <w:bookmarkEnd w:id="5"/>
    </w:p>
    <w:p>
      <w:pPr>
        <w:pStyle w:val="4"/>
      </w:pPr>
      <w:bookmarkStart w:id="6" w:name="_Toc18906"/>
      <w:r>
        <w:rPr>
          <w:rFonts w:hint="eastAsia"/>
        </w:rPr>
        <w:t>核对身份</w:t>
      </w:r>
      <w:bookmarkEnd w:id="6"/>
    </w:p>
    <w:p>
      <w:pPr>
        <w:rPr>
          <w:rFonts w:hint="eastAsia"/>
        </w:rPr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系统自动校验是否满足一般注销申请的条件（注销公告期是否已满、是否被注销锁定、是否有股权质押等）。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2617470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23790"/>
      <w:r>
        <w:rPr>
          <w:rFonts w:hint="eastAsia"/>
        </w:rPr>
        <w:t>资料录入</w:t>
      </w:r>
      <w:bookmarkEnd w:id="7"/>
    </w:p>
    <w:p>
      <w:r>
        <w:rPr>
          <w:rFonts w:hint="eastAsia"/>
        </w:rPr>
        <w:t>1、勾选注销原因及企业的各种情况，点击【下一步】按钮进入下一页面；点击【上一步】按钮可返回上一个页面。</w:t>
      </w:r>
    </w:p>
    <w:p>
      <w:r>
        <w:drawing>
          <wp:inline distT="0" distB="0" distL="0" distR="0">
            <wp:extent cx="5274310" cy="3075305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64030"/>
            <wp:effectExtent l="0" t="0" r="2540" b="762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2、填写委托代理人信息</w:t>
      </w:r>
    </w:p>
    <w:p>
      <w:r>
        <w:drawing>
          <wp:inline distT="0" distB="0" distL="0" distR="0">
            <wp:extent cx="5274310" cy="2964815"/>
            <wp:effectExtent l="0" t="0" r="2540" b="698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3、选择注销通知书领取方式</w:t>
      </w:r>
    </w:p>
    <w:p>
      <w:pPr>
        <w:rPr>
          <w:rFonts w:hint="eastAsia"/>
        </w:rPr>
      </w:pPr>
      <w:r>
        <w:rPr>
          <w:rFonts w:hint="eastAsia"/>
        </w:rPr>
        <w:t>邮寄</w:t>
      </w:r>
    </w:p>
    <w:p>
      <w:r>
        <w:drawing>
          <wp:inline distT="0" distB="0" distL="0" distR="0">
            <wp:extent cx="5274310" cy="30016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窗口</w:t>
      </w:r>
    </w:p>
    <w:p>
      <w:r>
        <w:drawing>
          <wp:inline distT="0" distB="0" distL="0" distR="0">
            <wp:extent cx="5274310" cy="1555750"/>
            <wp:effectExtent l="0" t="0" r="2540" b="635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14535"/>
      <w:r>
        <w:rPr>
          <w:rFonts w:hint="eastAsia"/>
        </w:rPr>
        <w:t>信息确认</w:t>
      </w:r>
      <w:bookmarkEnd w:id="8"/>
    </w:p>
    <w:p>
      <w:r>
        <w:rPr>
          <w:rFonts w:hint="eastAsia"/>
        </w:rPr>
        <w:t>确认信息后，点击【确认】按钮进入“签名”页面；点击【上一步】可返回“资料录入”页面修改资料。</w:t>
      </w:r>
    </w:p>
    <w:p>
      <w:r>
        <w:drawing>
          <wp:inline distT="0" distB="0" distL="0" distR="0">
            <wp:extent cx="5274310" cy="3095625"/>
            <wp:effectExtent l="0" t="0" r="2540" b="9525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52015"/>
            <wp:effectExtent l="0" t="0" r="2540" b="635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20525"/>
      <w:r>
        <w:rPr>
          <w:rFonts w:hint="eastAsia"/>
        </w:rPr>
        <w:t>签名/提交</w:t>
      </w:r>
      <w:bookmarkEnd w:id="9"/>
    </w:p>
    <w:p>
      <w:pPr>
        <w:ind w:firstLine="420"/>
      </w:pPr>
      <w:r>
        <w:rPr>
          <w:rFonts w:hint="eastAsia"/>
          <w:lang w:eastAsia="zh-CN"/>
        </w:rPr>
        <w:t>如</w:t>
      </w:r>
      <w:r>
        <w:rPr>
          <w:rFonts w:hint="eastAsia"/>
        </w:rPr>
        <w:t>为</w:t>
      </w:r>
      <w:r>
        <w:rPr>
          <w:rFonts w:hint="eastAsia"/>
          <w:lang w:eastAsia="zh-CN"/>
        </w:rPr>
        <w:t>全程电子化</w:t>
      </w:r>
      <w:r>
        <w:rPr>
          <w:rFonts w:hint="eastAsia"/>
        </w:rPr>
        <w:t>业务</w:t>
      </w:r>
      <w:r>
        <w:rPr>
          <w:rFonts w:hint="eastAsia"/>
          <w:lang w:eastAsia="zh-CN"/>
        </w:rPr>
        <w:t>的</w:t>
      </w:r>
      <w:r>
        <w:rPr>
          <w:rFonts w:hint="eastAsia"/>
        </w:rPr>
        <w:t>，点击核对材料后，点击【发起电子签名】按钮即可提交企业注销信息进入签名人员列表页面；点击【返回修改】可返回“资料录入”页面修改资料。</w:t>
      </w:r>
    </w:p>
    <w:p>
      <w:pPr>
        <w:ind w:left="422" w:hanging="2"/>
        <w:rPr>
          <w:b/>
          <w:bCs/>
        </w:rPr>
      </w:pPr>
      <w:r>
        <w:rPr>
          <w:rFonts w:hint="eastAsia"/>
          <w:b/>
          <w:bCs/>
          <w:color w:val="00B050"/>
        </w:rPr>
        <w:t>注：不</w:t>
      </w:r>
      <w:r>
        <w:rPr>
          <w:rFonts w:hint="eastAsia"/>
          <w:b/>
          <w:bCs/>
          <w:color w:val="00B050"/>
          <w:lang w:eastAsia="zh-CN"/>
        </w:rPr>
        <w:t>属</w:t>
      </w:r>
      <w:r>
        <w:rPr>
          <w:rFonts w:hint="eastAsia"/>
          <w:b/>
          <w:bCs/>
          <w:color w:val="00B050"/>
        </w:rPr>
        <w:t>全电业务</w:t>
      </w:r>
      <w:r>
        <w:rPr>
          <w:rFonts w:hint="eastAsia"/>
          <w:b/>
          <w:bCs/>
          <w:color w:val="00B050"/>
          <w:lang w:eastAsia="zh-CN"/>
        </w:rPr>
        <w:t>的</w:t>
      </w:r>
      <w:r>
        <w:rPr>
          <w:rFonts w:hint="eastAsia"/>
          <w:b/>
          <w:bCs/>
          <w:color w:val="00B050"/>
        </w:rPr>
        <w:t>，点击核对材料后，点击【提交】（为网登业务）按钮即可提交注销信息到审批系统审批。</w:t>
      </w:r>
    </w:p>
    <w:p>
      <w:r>
        <w:drawing>
          <wp:inline distT="0" distB="0" distL="0" distR="0">
            <wp:extent cx="5274310" cy="3178175"/>
            <wp:effectExtent l="0" t="0" r="2540" b="3175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微信小程序扫码签名完成后，符合智能审批的业务，业务流程自动核准通过。</w:t>
      </w:r>
    </w:p>
    <w:p>
      <w:r>
        <w:drawing>
          <wp:inline distT="0" distB="0" distL="114300" distR="114300">
            <wp:extent cx="5269230" cy="1863090"/>
            <wp:effectExtent l="0" t="0" r="7620" b="3810"/>
            <wp:docPr id="20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2712"/>
      <w:r>
        <w:rPr>
          <w:rFonts w:hint="eastAsia"/>
        </w:rPr>
        <w:t>分公司一般注销业务操作</w:t>
      </w:r>
      <w:bookmarkEnd w:id="10"/>
    </w:p>
    <w:p>
      <w:pPr>
        <w:pStyle w:val="4"/>
      </w:pPr>
      <w:bookmarkStart w:id="11" w:name="_Toc5428"/>
      <w:r>
        <w:rPr>
          <w:rFonts w:hint="eastAsia"/>
        </w:rPr>
        <w:t>核对身份</w:t>
      </w:r>
      <w:bookmarkEnd w:id="11"/>
    </w:p>
    <w:p>
      <w:r>
        <w:rPr>
          <w:rFonts w:hint="eastAsia"/>
        </w:rPr>
        <w:t>点击输入统一社会信用代码、企业名称、校验码，点击【下一步】按钮，进入“资料录入”页面。</w:t>
      </w:r>
    </w:p>
    <w:p>
      <w:r>
        <w:drawing>
          <wp:inline distT="0" distB="0" distL="0" distR="0">
            <wp:extent cx="5274310" cy="2617470"/>
            <wp:effectExtent l="0" t="0" r="254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21685"/>
      <w:r>
        <w:rPr>
          <w:rFonts w:hint="eastAsia"/>
        </w:rPr>
        <w:t>资料录入</w:t>
      </w:r>
      <w:bookmarkEnd w:id="12"/>
    </w:p>
    <w:p>
      <w:r>
        <w:rPr>
          <w:rFonts w:hint="eastAsia"/>
        </w:rPr>
        <w:t>1、勾选注销原因及企业的各种情况，点击【下一步】按钮进入下一页面；点击【上一步】按钮可返回上一个页面。</w:t>
      </w:r>
    </w:p>
    <w:p>
      <w:r>
        <w:drawing>
          <wp:inline distT="0" distB="0" distL="0" distR="0">
            <wp:extent cx="5274310" cy="2099945"/>
            <wp:effectExtent l="0" t="0" r="254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958340"/>
            <wp:effectExtent l="0" t="0" r="2540" b="381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2、填写委托代理人信息</w:t>
      </w:r>
    </w:p>
    <w:p>
      <w:r>
        <w:drawing>
          <wp:inline distT="0" distB="0" distL="0" distR="0">
            <wp:extent cx="5274310" cy="2964815"/>
            <wp:effectExtent l="0" t="0" r="2540" b="698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3、选择注销通知书领取方式</w:t>
      </w:r>
    </w:p>
    <w:p>
      <w:r>
        <w:drawing>
          <wp:inline distT="0" distB="0" distL="0" distR="0">
            <wp:extent cx="5274310" cy="3001645"/>
            <wp:effectExtent l="0" t="0" r="2540" b="8255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555750"/>
            <wp:effectExtent l="0" t="0" r="2540" b="635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3" w:name="_Toc4452"/>
      <w:r>
        <w:rPr>
          <w:rFonts w:hint="eastAsia"/>
        </w:rPr>
        <w:t>信息确认</w:t>
      </w:r>
      <w:bookmarkEnd w:id="13"/>
    </w:p>
    <w:p>
      <w:r>
        <w:rPr>
          <w:rFonts w:hint="eastAsia"/>
        </w:rPr>
        <w:t>确认信息后，点击【确认】按钮进入“签名”页面；点击【上一步】可返回“资料录入”页面修改资料。</w:t>
      </w:r>
    </w:p>
    <w:p>
      <w:r>
        <w:drawing>
          <wp:inline distT="0" distB="0" distL="0" distR="0">
            <wp:extent cx="5274310" cy="2679065"/>
            <wp:effectExtent l="0" t="0" r="2540" b="698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94990"/>
            <wp:effectExtent l="0" t="0" r="254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24112"/>
      <w:r>
        <w:rPr>
          <w:rFonts w:hint="eastAsia"/>
        </w:rPr>
        <w:t>签名/提交</w:t>
      </w:r>
      <w:bookmarkEnd w:id="14"/>
    </w:p>
    <w:p>
      <w:r>
        <w:rPr>
          <w:rFonts w:hint="eastAsia"/>
        </w:rPr>
        <w:t>同‘有限公司一般注销业务操作》签名’的操作一致。</w:t>
      </w:r>
    </w:p>
    <w:p>
      <w:r>
        <w:drawing>
          <wp:inline distT="0" distB="0" distL="0" distR="0">
            <wp:extent cx="5274310" cy="3177540"/>
            <wp:effectExtent l="0" t="0" r="2540" b="381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20979"/>
      <w:r>
        <w:rPr>
          <w:rFonts w:hint="eastAsia"/>
        </w:rPr>
        <w:t>合伙企业一般注销业务操作</w:t>
      </w:r>
      <w:bookmarkEnd w:id="15"/>
    </w:p>
    <w:p>
      <w:pPr>
        <w:pStyle w:val="4"/>
      </w:pPr>
      <w:bookmarkStart w:id="16" w:name="_Toc42"/>
      <w:r>
        <w:rPr>
          <w:rFonts w:hint="eastAsia"/>
        </w:rPr>
        <w:t>核对身份</w:t>
      </w:r>
      <w:bookmarkEnd w:id="16"/>
    </w:p>
    <w:p>
      <w:r>
        <w:rPr>
          <w:rFonts w:hint="eastAsia"/>
        </w:rPr>
        <w:t>点击输入统一社会信用代码、企业名称、校验码，点击【下一步】按钮，进入“资料录入”页面。</w:t>
      </w:r>
    </w:p>
    <w:p>
      <w:r>
        <w:drawing>
          <wp:inline distT="0" distB="0" distL="0" distR="0">
            <wp:extent cx="5274310" cy="2617470"/>
            <wp:effectExtent l="0" t="0" r="254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20787"/>
      <w:r>
        <w:rPr>
          <w:rFonts w:hint="eastAsia"/>
        </w:rPr>
        <w:t>资料录入</w:t>
      </w:r>
      <w:bookmarkEnd w:id="17"/>
    </w:p>
    <w:p>
      <w:r>
        <w:rPr>
          <w:rFonts w:hint="eastAsia"/>
        </w:rPr>
        <w:t>1、勾选注销原因及企业的各种情况，点击【下一步】按钮进入下一页面；点击【上一步】按钮可返回上一个页面。</w:t>
      </w:r>
    </w:p>
    <w:p>
      <w:r>
        <w:drawing>
          <wp:inline distT="0" distB="0" distL="0" distR="0">
            <wp:extent cx="5274310" cy="3154045"/>
            <wp:effectExtent l="0" t="0" r="2540" b="825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9814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2、填写委托代理人信息</w:t>
      </w:r>
    </w:p>
    <w:p>
      <w:r>
        <w:drawing>
          <wp:inline distT="0" distB="0" distL="0" distR="0">
            <wp:extent cx="5274310" cy="2964815"/>
            <wp:effectExtent l="0" t="0" r="2540" b="698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3、选择注销通知书领取方式</w:t>
      </w:r>
    </w:p>
    <w:p>
      <w:r>
        <w:drawing>
          <wp:inline distT="0" distB="0" distL="0" distR="0">
            <wp:extent cx="5274310" cy="3001645"/>
            <wp:effectExtent l="0" t="0" r="2540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555750"/>
            <wp:effectExtent l="0" t="0" r="2540" b="635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8" w:name="_Toc8828"/>
      <w:r>
        <w:rPr>
          <w:rFonts w:hint="eastAsia"/>
        </w:rPr>
        <w:t>信息确认</w:t>
      </w:r>
      <w:bookmarkEnd w:id="18"/>
    </w:p>
    <w:p>
      <w:r>
        <w:rPr>
          <w:rFonts w:hint="eastAsia"/>
        </w:rPr>
        <w:t>确认信息后，点击【确认】按钮进入“签名”页面；点击【上一步】可返回“资料录入”页面修改资料。</w:t>
      </w:r>
    </w:p>
    <w:p>
      <w:r>
        <w:drawing>
          <wp:inline distT="0" distB="0" distL="0" distR="0">
            <wp:extent cx="5274310" cy="3007995"/>
            <wp:effectExtent l="0" t="0" r="2540" b="190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71065"/>
            <wp:effectExtent l="0" t="0" r="2540" b="63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6952"/>
      <w:r>
        <w:rPr>
          <w:rFonts w:hint="eastAsia"/>
        </w:rPr>
        <w:t>签名/提交</w:t>
      </w:r>
      <w:bookmarkEnd w:id="19"/>
    </w:p>
    <w:p>
      <w:r>
        <w:rPr>
          <w:rFonts w:hint="eastAsia"/>
        </w:rPr>
        <w:t>同‘有限公司一般注销业务操作》签名’的操作一致。</w:t>
      </w:r>
    </w:p>
    <w:p>
      <w:r>
        <w:drawing>
          <wp:inline distT="0" distB="0" distL="0" distR="0">
            <wp:extent cx="5274310" cy="322834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微信小程序扫码签名完成后自动核准通过。</w:t>
      </w:r>
    </w:p>
    <w:p>
      <w:r>
        <w:drawing>
          <wp:inline distT="0" distB="0" distL="114300" distR="114300">
            <wp:extent cx="5266055" cy="2880995"/>
            <wp:effectExtent l="0" t="0" r="10795" b="14605"/>
            <wp:docPr id="20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32379"/>
      <w:r>
        <w:rPr>
          <w:rFonts w:hint="eastAsia"/>
        </w:rPr>
        <w:t>个独企业一般注销业务操作</w:t>
      </w:r>
      <w:bookmarkEnd w:id="20"/>
    </w:p>
    <w:p>
      <w:pPr>
        <w:pStyle w:val="4"/>
      </w:pPr>
      <w:bookmarkStart w:id="21" w:name="_Toc29611"/>
      <w:r>
        <w:rPr>
          <w:rFonts w:hint="eastAsia"/>
        </w:rPr>
        <w:t>核对身份</w:t>
      </w:r>
      <w:bookmarkEnd w:id="21"/>
    </w:p>
    <w:p>
      <w:r>
        <w:rPr>
          <w:rFonts w:hint="eastAsia"/>
        </w:rPr>
        <w:t>点击输入统一社会信用代码、企业名称、校验码，点击【下一步】按钮，进入“资料录入”页面。</w:t>
      </w:r>
    </w:p>
    <w:p>
      <w:r>
        <w:drawing>
          <wp:inline distT="0" distB="0" distL="0" distR="0">
            <wp:extent cx="5274310" cy="2617470"/>
            <wp:effectExtent l="0" t="0" r="254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24851"/>
      <w:r>
        <w:rPr>
          <w:rFonts w:hint="eastAsia"/>
        </w:rPr>
        <w:t>资料录入</w:t>
      </w:r>
      <w:bookmarkEnd w:id="22"/>
    </w:p>
    <w:p>
      <w:r>
        <w:rPr>
          <w:rFonts w:hint="eastAsia"/>
        </w:rPr>
        <w:t>1、勾选注销原因及企业的各种情况，点击【下一步】按钮进入下一页面；点击【上一步】按钮可返回上一个页面。</w:t>
      </w:r>
    </w:p>
    <w:p>
      <w:r>
        <w:drawing>
          <wp:inline distT="0" distB="0" distL="0" distR="0">
            <wp:extent cx="5274310" cy="2644140"/>
            <wp:effectExtent l="0" t="0" r="2540" b="381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098550"/>
            <wp:effectExtent l="0" t="0" r="2540" b="635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2、填写委托代理人信息</w:t>
      </w:r>
    </w:p>
    <w:p>
      <w:r>
        <w:drawing>
          <wp:inline distT="0" distB="0" distL="0" distR="0">
            <wp:extent cx="5274310" cy="2964815"/>
            <wp:effectExtent l="0" t="0" r="2540" b="698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3、选择注销通知书领取方式</w:t>
      </w:r>
    </w:p>
    <w:p>
      <w:r>
        <w:drawing>
          <wp:inline distT="0" distB="0" distL="0" distR="0">
            <wp:extent cx="5274310" cy="3001645"/>
            <wp:effectExtent l="0" t="0" r="2540" b="825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555750"/>
            <wp:effectExtent l="0" t="0" r="2540" b="635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29346"/>
      <w:r>
        <w:rPr>
          <w:rFonts w:hint="eastAsia"/>
        </w:rPr>
        <w:t>信息确认</w:t>
      </w:r>
      <w:bookmarkEnd w:id="23"/>
    </w:p>
    <w:p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r>
        <w:drawing>
          <wp:inline distT="0" distB="0" distL="0" distR="0">
            <wp:extent cx="5274310" cy="2673985"/>
            <wp:effectExtent l="0" t="0" r="254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87880"/>
            <wp:effectExtent l="0" t="0" r="2540" b="762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4" w:name="_Toc11921"/>
      <w:r>
        <w:rPr>
          <w:rFonts w:hint="eastAsia"/>
        </w:rPr>
        <w:t>签名/提交</w:t>
      </w:r>
      <w:bookmarkEnd w:id="24"/>
    </w:p>
    <w:p>
      <w:r>
        <w:rPr>
          <w:rFonts w:hint="eastAsia"/>
        </w:rPr>
        <w:t>同‘有限公司一般注销业务操作》签名’的操作一致。</w:t>
      </w:r>
    </w:p>
    <w:p>
      <w:r>
        <w:drawing>
          <wp:inline distT="0" distB="0" distL="0" distR="0">
            <wp:extent cx="5274310" cy="3226435"/>
            <wp:effectExtent l="0" t="0" r="254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28449"/>
      <w:r>
        <w:rPr>
          <w:rFonts w:hint="eastAsia"/>
        </w:rPr>
        <w:t>有限公司简易注销业务操作</w:t>
      </w:r>
      <w:bookmarkEnd w:id="25"/>
    </w:p>
    <w:p>
      <w:pPr>
        <w:pStyle w:val="4"/>
      </w:pPr>
      <w:bookmarkStart w:id="26" w:name="_Toc15819"/>
      <w:r>
        <w:rPr>
          <w:rFonts w:hint="eastAsia"/>
        </w:rPr>
        <w:t>核对身份</w:t>
      </w:r>
      <w:bookmarkEnd w:id="26"/>
    </w:p>
    <w:p>
      <w:pPr>
        <w:rPr>
          <w:rFonts w:hint="eastAsia"/>
        </w:rPr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系统自动校验是否满足简易注销申请的条件（简易注销公告期是否已满、是否被注销锁定、是否有股权质押等）。</w:t>
      </w:r>
    </w:p>
    <w:p>
      <w:r>
        <w:drawing>
          <wp:inline distT="0" distB="0" distL="0" distR="0">
            <wp:extent cx="5274310" cy="2597150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6255"/>
      <w:r>
        <w:rPr>
          <w:rFonts w:hint="eastAsia"/>
        </w:rPr>
        <w:t>资料录入</w:t>
      </w:r>
      <w:bookmarkEnd w:id="27"/>
    </w:p>
    <w:p>
      <w:r>
        <w:rPr>
          <w:rFonts w:hint="eastAsia"/>
        </w:rPr>
        <w:t>1、勾选适用简易注销的情形，点击【下一步】按钮进入下一页面；点击【上一步】按钮可返回上一个页面。</w:t>
      </w:r>
    </w:p>
    <w:p>
      <w:r>
        <w:drawing>
          <wp:inline distT="0" distB="0" distL="0" distR="0">
            <wp:extent cx="5274310" cy="3091180"/>
            <wp:effectExtent l="0" t="0" r="254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54990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2、填写委托代理人信息</w:t>
      </w:r>
    </w:p>
    <w:p>
      <w:r>
        <w:drawing>
          <wp:inline distT="0" distB="0" distL="0" distR="0">
            <wp:extent cx="5274310" cy="2964815"/>
            <wp:effectExtent l="0" t="0" r="2540" b="698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3、选择注销通知书领取方式</w:t>
      </w:r>
    </w:p>
    <w:p>
      <w:pPr>
        <w:rPr>
          <w:rFonts w:hint="eastAsia"/>
        </w:rPr>
      </w:pPr>
      <w:r>
        <w:rPr>
          <w:rFonts w:hint="eastAsia"/>
        </w:rPr>
        <w:t>邮寄方式</w:t>
      </w:r>
    </w:p>
    <w:p>
      <w:r>
        <w:drawing>
          <wp:inline distT="0" distB="0" distL="0" distR="0">
            <wp:extent cx="5274310" cy="3001645"/>
            <wp:effectExtent l="0" t="0" r="2540" b="825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窗口方式</w:t>
      </w:r>
    </w:p>
    <w:p>
      <w:r>
        <w:drawing>
          <wp:inline distT="0" distB="0" distL="0" distR="0">
            <wp:extent cx="5274310" cy="1555750"/>
            <wp:effectExtent l="0" t="0" r="2540" b="635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8" w:name="_Toc3471"/>
      <w:r>
        <w:rPr>
          <w:rFonts w:hint="eastAsia"/>
        </w:rPr>
        <w:t>信息确认</w:t>
      </w:r>
      <w:bookmarkEnd w:id="28"/>
    </w:p>
    <w:p>
      <w:r>
        <w:rPr>
          <w:rFonts w:hint="eastAsia"/>
        </w:rPr>
        <w:t>确认信息后，点击【确认】按钮进入“签名”页面；点击【上一步】可返回“资料录入”页面修改资料。</w:t>
      </w:r>
    </w:p>
    <w:p>
      <w:r>
        <w:drawing>
          <wp:inline distT="0" distB="0" distL="0" distR="0">
            <wp:extent cx="5274310" cy="3024505"/>
            <wp:effectExtent l="0" t="0" r="2540" b="4445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16660"/>
            <wp:effectExtent l="0" t="0" r="2540" b="254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9" w:name="_Toc21564"/>
      <w:r>
        <w:rPr>
          <w:rFonts w:hint="eastAsia"/>
        </w:rPr>
        <w:t>签名</w:t>
      </w:r>
      <w:bookmarkEnd w:id="29"/>
    </w:p>
    <w:p>
      <w:r>
        <w:rPr>
          <w:rFonts w:hint="eastAsia"/>
        </w:rPr>
        <w:t>同‘有限公司一般注销业务操作》签名’的操作一致。</w:t>
      </w:r>
    </w:p>
    <w:p>
      <w:r>
        <w:drawing>
          <wp:inline distT="0" distB="0" distL="0" distR="0">
            <wp:extent cx="5274310" cy="3098800"/>
            <wp:effectExtent l="0" t="0" r="2540" b="635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11900"/>
      <w:r>
        <w:rPr>
          <w:rFonts w:hint="eastAsia"/>
        </w:rPr>
        <w:t>我的办件</w:t>
      </w:r>
      <w:bookmarkEnd w:id="30"/>
    </w:p>
    <w:p>
      <w:pPr>
        <w:rPr>
          <w:rFonts w:hint="eastAsia"/>
        </w:rPr>
      </w:pPr>
      <w:r>
        <w:rPr>
          <w:rFonts w:hint="eastAsia"/>
        </w:rPr>
        <w:t>点击“我要查进度”</w:t>
      </w:r>
    </w:p>
    <w:p>
      <w:r>
        <w:drawing>
          <wp:inline distT="0" distB="0" distL="0" distR="0">
            <wp:extent cx="5274310" cy="15824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录入企业名称，点击“查询”。</w:t>
      </w:r>
    </w:p>
    <w:p>
      <w:r>
        <w:drawing>
          <wp:inline distT="0" distB="0" distL="0" distR="0">
            <wp:extent cx="5274310" cy="16325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spacing w:line="360" w:lineRule="auto"/>
        <w:rPr>
          <w:rFonts w:eastAsia="宋体"/>
          <w:b w:val="0"/>
          <w:bCs w:val="0"/>
        </w:rPr>
      </w:pPr>
      <w:bookmarkStart w:id="31" w:name="_Toc7697"/>
      <w:bookmarkStart w:id="32" w:name="_Toc29588"/>
      <w:r>
        <w:rPr>
          <w:rFonts w:hint="eastAsia" w:eastAsia="宋体" w:cs="宋体"/>
          <w:lang w:eastAsia="zh-CN"/>
        </w:rPr>
        <w:t>权力来源与咨询方式</w:t>
      </w:r>
      <w:bookmarkEnd w:id="31"/>
      <w:bookmarkEnd w:id="32"/>
    </w:p>
    <w:p>
      <w:pPr>
        <w:pStyle w:val="3"/>
      </w:pPr>
      <w:bookmarkStart w:id="33" w:name="_Toc8198"/>
      <w:bookmarkStart w:id="34" w:name="_Toc19636"/>
      <w:r>
        <w:rPr>
          <w:rFonts w:hint="eastAsia"/>
          <w:lang w:eastAsia="zh-CN"/>
        </w:rPr>
        <w:t>权力来源</w:t>
      </w:r>
      <w:bookmarkEnd w:id="33"/>
      <w:bookmarkEnd w:id="34"/>
    </w:p>
    <w:p>
      <w:r>
        <w:rPr>
          <w:rFonts w:hint="eastAsia"/>
        </w:rPr>
        <w:t>《行政许可法》及</w:t>
      </w:r>
      <w:r>
        <w:rPr>
          <w:rFonts w:hint="eastAsia"/>
          <w:lang w:eastAsia="zh-CN"/>
        </w:rPr>
        <w:t>注销企业涉及的</w:t>
      </w:r>
      <w:r>
        <w:rPr>
          <w:rFonts w:hint="eastAsia"/>
        </w:rPr>
        <w:t>各事项登记法律法规</w:t>
      </w:r>
    </w:p>
    <w:p/>
    <w:p>
      <w:pPr>
        <w:pStyle w:val="3"/>
      </w:pPr>
      <w:bookmarkStart w:id="35" w:name="_Toc6937"/>
      <w:bookmarkStart w:id="36" w:name="_Toc7244"/>
      <w:r>
        <w:rPr>
          <w:rFonts w:hint="eastAsia"/>
          <w:lang w:eastAsia="zh-CN"/>
        </w:rPr>
        <w:t>咨询方式</w:t>
      </w:r>
      <w:bookmarkEnd w:id="35"/>
      <w:bookmarkEnd w:id="36"/>
    </w:p>
    <w:p>
      <w:r>
        <w:rPr>
          <w:rFonts w:hint="eastAsia"/>
        </w:rPr>
        <w:t>12345热线或平台智慧导办客服</w:t>
      </w:r>
    </w:p>
    <w:p>
      <w:pPr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89A540"/>
    <w:multiLevelType w:val="multilevel"/>
    <w:tmpl w:val="C189A540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BC8"/>
    <w:rsid w:val="00027C1E"/>
    <w:rsid w:val="00034BD2"/>
    <w:rsid w:val="00036451"/>
    <w:rsid w:val="00037767"/>
    <w:rsid w:val="00067C93"/>
    <w:rsid w:val="00074D41"/>
    <w:rsid w:val="0008063A"/>
    <w:rsid w:val="000B1054"/>
    <w:rsid w:val="000C17BA"/>
    <w:rsid w:val="000C43E1"/>
    <w:rsid w:val="000D4EB3"/>
    <w:rsid w:val="00134C07"/>
    <w:rsid w:val="00140A78"/>
    <w:rsid w:val="00182BC8"/>
    <w:rsid w:val="00185027"/>
    <w:rsid w:val="001906B7"/>
    <w:rsid w:val="00193F29"/>
    <w:rsid w:val="001967DA"/>
    <w:rsid w:val="001A2F5B"/>
    <w:rsid w:val="001D3CFF"/>
    <w:rsid w:val="001D7963"/>
    <w:rsid w:val="001F7998"/>
    <w:rsid w:val="00200336"/>
    <w:rsid w:val="0023361D"/>
    <w:rsid w:val="00243D9F"/>
    <w:rsid w:val="002A29D4"/>
    <w:rsid w:val="002A60AD"/>
    <w:rsid w:val="002C1B1F"/>
    <w:rsid w:val="002C4C85"/>
    <w:rsid w:val="00311FC8"/>
    <w:rsid w:val="00321134"/>
    <w:rsid w:val="00323456"/>
    <w:rsid w:val="003247BC"/>
    <w:rsid w:val="00367FDD"/>
    <w:rsid w:val="00377E42"/>
    <w:rsid w:val="00396AA9"/>
    <w:rsid w:val="003D2C32"/>
    <w:rsid w:val="003F44AC"/>
    <w:rsid w:val="0041097E"/>
    <w:rsid w:val="0042102B"/>
    <w:rsid w:val="00441C2B"/>
    <w:rsid w:val="00452543"/>
    <w:rsid w:val="0050224D"/>
    <w:rsid w:val="00531A04"/>
    <w:rsid w:val="00581018"/>
    <w:rsid w:val="00582719"/>
    <w:rsid w:val="005F4B4D"/>
    <w:rsid w:val="0060449A"/>
    <w:rsid w:val="006117B0"/>
    <w:rsid w:val="00612006"/>
    <w:rsid w:val="0062292F"/>
    <w:rsid w:val="00625B09"/>
    <w:rsid w:val="006311C2"/>
    <w:rsid w:val="00682EF3"/>
    <w:rsid w:val="006916D3"/>
    <w:rsid w:val="00695176"/>
    <w:rsid w:val="006B33FA"/>
    <w:rsid w:val="006C52AC"/>
    <w:rsid w:val="006D00D4"/>
    <w:rsid w:val="006D541D"/>
    <w:rsid w:val="006F35E7"/>
    <w:rsid w:val="00724C36"/>
    <w:rsid w:val="00747DB9"/>
    <w:rsid w:val="0079058B"/>
    <w:rsid w:val="00792A20"/>
    <w:rsid w:val="00797AF5"/>
    <w:rsid w:val="007D4F49"/>
    <w:rsid w:val="008353C1"/>
    <w:rsid w:val="008568FD"/>
    <w:rsid w:val="008978CD"/>
    <w:rsid w:val="008A3915"/>
    <w:rsid w:val="008E5F03"/>
    <w:rsid w:val="009044E5"/>
    <w:rsid w:val="00930FE4"/>
    <w:rsid w:val="0098410E"/>
    <w:rsid w:val="00994ADA"/>
    <w:rsid w:val="009A6484"/>
    <w:rsid w:val="009E4281"/>
    <w:rsid w:val="00A1782C"/>
    <w:rsid w:val="00A403A3"/>
    <w:rsid w:val="00A7167B"/>
    <w:rsid w:val="00AA0B10"/>
    <w:rsid w:val="00AD2190"/>
    <w:rsid w:val="00B120C0"/>
    <w:rsid w:val="00B148C7"/>
    <w:rsid w:val="00B27321"/>
    <w:rsid w:val="00B4053B"/>
    <w:rsid w:val="00B47D07"/>
    <w:rsid w:val="00B62748"/>
    <w:rsid w:val="00B71ECB"/>
    <w:rsid w:val="00BE0AFB"/>
    <w:rsid w:val="00BE0F99"/>
    <w:rsid w:val="00BE55CA"/>
    <w:rsid w:val="00BF2775"/>
    <w:rsid w:val="00C402D4"/>
    <w:rsid w:val="00C44811"/>
    <w:rsid w:val="00C55115"/>
    <w:rsid w:val="00CB054B"/>
    <w:rsid w:val="00CB42E3"/>
    <w:rsid w:val="00CD39E2"/>
    <w:rsid w:val="00CD639D"/>
    <w:rsid w:val="00CE78EF"/>
    <w:rsid w:val="00CF10D2"/>
    <w:rsid w:val="00CF15EC"/>
    <w:rsid w:val="00D1597F"/>
    <w:rsid w:val="00D46C7B"/>
    <w:rsid w:val="00D719C3"/>
    <w:rsid w:val="00D97715"/>
    <w:rsid w:val="00DA15A5"/>
    <w:rsid w:val="00DA1997"/>
    <w:rsid w:val="00DF4436"/>
    <w:rsid w:val="00E110A1"/>
    <w:rsid w:val="00E54C5C"/>
    <w:rsid w:val="00E67A83"/>
    <w:rsid w:val="00EA6206"/>
    <w:rsid w:val="00EC1D1F"/>
    <w:rsid w:val="00ED4611"/>
    <w:rsid w:val="00EE7201"/>
    <w:rsid w:val="00EE797B"/>
    <w:rsid w:val="00F06730"/>
    <w:rsid w:val="00F62F63"/>
    <w:rsid w:val="00F775D1"/>
    <w:rsid w:val="00FA4C1E"/>
    <w:rsid w:val="010909C1"/>
    <w:rsid w:val="017157A7"/>
    <w:rsid w:val="01CB1B80"/>
    <w:rsid w:val="025F708A"/>
    <w:rsid w:val="029F3037"/>
    <w:rsid w:val="02B00ADB"/>
    <w:rsid w:val="02E211F4"/>
    <w:rsid w:val="03950FEE"/>
    <w:rsid w:val="03C219BC"/>
    <w:rsid w:val="045D03BF"/>
    <w:rsid w:val="047631A6"/>
    <w:rsid w:val="0509716D"/>
    <w:rsid w:val="08D02CD6"/>
    <w:rsid w:val="08D5598B"/>
    <w:rsid w:val="09173D95"/>
    <w:rsid w:val="09DF39A0"/>
    <w:rsid w:val="0BA162F8"/>
    <w:rsid w:val="0BEF11F4"/>
    <w:rsid w:val="0BEF36ED"/>
    <w:rsid w:val="0C887290"/>
    <w:rsid w:val="0F2071D9"/>
    <w:rsid w:val="0F99619B"/>
    <w:rsid w:val="1096751D"/>
    <w:rsid w:val="10B52B17"/>
    <w:rsid w:val="114F2255"/>
    <w:rsid w:val="12F8220D"/>
    <w:rsid w:val="15085B19"/>
    <w:rsid w:val="154B01EF"/>
    <w:rsid w:val="16266E4E"/>
    <w:rsid w:val="1662592B"/>
    <w:rsid w:val="193337F5"/>
    <w:rsid w:val="197C0A4E"/>
    <w:rsid w:val="1A181845"/>
    <w:rsid w:val="1A1D7201"/>
    <w:rsid w:val="1C4E0FA0"/>
    <w:rsid w:val="1D0422AE"/>
    <w:rsid w:val="1D200C86"/>
    <w:rsid w:val="1DD558EA"/>
    <w:rsid w:val="1E132814"/>
    <w:rsid w:val="1ECD3BA1"/>
    <w:rsid w:val="1F1E574A"/>
    <w:rsid w:val="200F0366"/>
    <w:rsid w:val="21322DF3"/>
    <w:rsid w:val="22A7518D"/>
    <w:rsid w:val="245949B0"/>
    <w:rsid w:val="24A97FE9"/>
    <w:rsid w:val="24BC609F"/>
    <w:rsid w:val="253C6D5E"/>
    <w:rsid w:val="2545466B"/>
    <w:rsid w:val="26A80C96"/>
    <w:rsid w:val="27633ED2"/>
    <w:rsid w:val="27A65D0D"/>
    <w:rsid w:val="28BB278E"/>
    <w:rsid w:val="28F0598A"/>
    <w:rsid w:val="29602EBF"/>
    <w:rsid w:val="29C11558"/>
    <w:rsid w:val="2B616F54"/>
    <w:rsid w:val="2B6E71EF"/>
    <w:rsid w:val="2B8C18F0"/>
    <w:rsid w:val="2C3B164D"/>
    <w:rsid w:val="2DF1182A"/>
    <w:rsid w:val="2E591E3D"/>
    <w:rsid w:val="2EE84620"/>
    <w:rsid w:val="2EFD4151"/>
    <w:rsid w:val="2F84016B"/>
    <w:rsid w:val="2F9A4A01"/>
    <w:rsid w:val="319020D2"/>
    <w:rsid w:val="3229098F"/>
    <w:rsid w:val="32A863D8"/>
    <w:rsid w:val="334A2305"/>
    <w:rsid w:val="35245C62"/>
    <w:rsid w:val="378F12B1"/>
    <w:rsid w:val="38964BC6"/>
    <w:rsid w:val="38C95BA7"/>
    <w:rsid w:val="38CA3112"/>
    <w:rsid w:val="393C7D42"/>
    <w:rsid w:val="3A1963BE"/>
    <w:rsid w:val="3A8E68CA"/>
    <w:rsid w:val="3C6D3FBA"/>
    <w:rsid w:val="3D60443D"/>
    <w:rsid w:val="3D681CBE"/>
    <w:rsid w:val="3DE33D43"/>
    <w:rsid w:val="3E2A1565"/>
    <w:rsid w:val="3E9A773A"/>
    <w:rsid w:val="405211F9"/>
    <w:rsid w:val="406B1591"/>
    <w:rsid w:val="41A9602F"/>
    <w:rsid w:val="41F514DD"/>
    <w:rsid w:val="428C0AFD"/>
    <w:rsid w:val="42C42AAD"/>
    <w:rsid w:val="442B2532"/>
    <w:rsid w:val="45000F32"/>
    <w:rsid w:val="45043EB3"/>
    <w:rsid w:val="465A3D2A"/>
    <w:rsid w:val="46A420CB"/>
    <w:rsid w:val="479216D2"/>
    <w:rsid w:val="4955071A"/>
    <w:rsid w:val="4AC316FA"/>
    <w:rsid w:val="4B061754"/>
    <w:rsid w:val="4B3A4120"/>
    <w:rsid w:val="4B6B5511"/>
    <w:rsid w:val="4B76721E"/>
    <w:rsid w:val="4BA36BE0"/>
    <w:rsid w:val="4BE31BDB"/>
    <w:rsid w:val="4C337B11"/>
    <w:rsid w:val="4D926CD9"/>
    <w:rsid w:val="4E8D3914"/>
    <w:rsid w:val="4F9951EF"/>
    <w:rsid w:val="504675D7"/>
    <w:rsid w:val="505823B7"/>
    <w:rsid w:val="511742A4"/>
    <w:rsid w:val="516E76F7"/>
    <w:rsid w:val="52266AAB"/>
    <w:rsid w:val="52842684"/>
    <w:rsid w:val="53245FCA"/>
    <w:rsid w:val="539570D6"/>
    <w:rsid w:val="53D258DF"/>
    <w:rsid w:val="54FC68FD"/>
    <w:rsid w:val="55156736"/>
    <w:rsid w:val="588E52FA"/>
    <w:rsid w:val="595030B9"/>
    <w:rsid w:val="598832E7"/>
    <w:rsid w:val="5A7D65A5"/>
    <w:rsid w:val="5AF50A21"/>
    <w:rsid w:val="5B2648FF"/>
    <w:rsid w:val="5BF55DAB"/>
    <w:rsid w:val="5C296733"/>
    <w:rsid w:val="5D83173C"/>
    <w:rsid w:val="5E0E50B7"/>
    <w:rsid w:val="5E59238D"/>
    <w:rsid w:val="5ED55C03"/>
    <w:rsid w:val="5F144957"/>
    <w:rsid w:val="5F870446"/>
    <w:rsid w:val="5FEA3AA5"/>
    <w:rsid w:val="626218BF"/>
    <w:rsid w:val="626F415A"/>
    <w:rsid w:val="62CA15B4"/>
    <w:rsid w:val="62FF39CD"/>
    <w:rsid w:val="63143D41"/>
    <w:rsid w:val="64753233"/>
    <w:rsid w:val="64A36151"/>
    <w:rsid w:val="661D6F0C"/>
    <w:rsid w:val="663272B4"/>
    <w:rsid w:val="664F5508"/>
    <w:rsid w:val="66513460"/>
    <w:rsid w:val="671C465D"/>
    <w:rsid w:val="686D0E8A"/>
    <w:rsid w:val="687340E2"/>
    <w:rsid w:val="692040DA"/>
    <w:rsid w:val="699952B0"/>
    <w:rsid w:val="6A250EFA"/>
    <w:rsid w:val="6B3D718E"/>
    <w:rsid w:val="6B7B46AC"/>
    <w:rsid w:val="6BDE200B"/>
    <w:rsid w:val="6C5255FD"/>
    <w:rsid w:val="6D1933A0"/>
    <w:rsid w:val="6DD3058F"/>
    <w:rsid w:val="6E307512"/>
    <w:rsid w:val="6F902B1A"/>
    <w:rsid w:val="7016692F"/>
    <w:rsid w:val="707C64DB"/>
    <w:rsid w:val="70846F8C"/>
    <w:rsid w:val="713B159F"/>
    <w:rsid w:val="71735BB4"/>
    <w:rsid w:val="71DA4168"/>
    <w:rsid w:val="736773F8"/>
    <w:rsid w:val="74AC7806"/>
    <w:rsid w:val="74DF0CC6"/>
    <w:rsid w:val="75E34A99"/>
    <w:rsid w:val="7613565D"/>
    <w:rsid w:val="772F6281"/>
    <w:rsid w:val="779243AC"/>
    <w:rsid w:val="78520A48"/>
    <w:rsid w:val="789C022B"/>
    <w:rsid w:val="78F508A6"/>
    <w:rsid w:val="79033340"/>
    <w:rsid w:val="79953AED"/>
    <w:rsid w:val="7A285494"/>
    <w:rsid w:val="7BF04A0C"/>
    <w:rsid w:val="7C535551"/>
    <w:rsid w:val="7CE85C72"/>
    <w:rsid w:val="7CF275B3"/>
    <w:rsid w:val="7D7D3C36"/>
    <w:rsid w:val="7F5C2A1F"/>
    <w:rsid w:val="7FAC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7">
    <w:name w:val="Default Paragraph Font"/>
    <w:semiHidden/>
    <w:unhideWhenUsed/>
    <w:uiPriority w:val="1"/>
  </w:style>
  <w:style w:type="table" w:default="1" w:styleId="1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39"/>
  </w:style>
  <w:style w:type="paragraph" w:styleId="16">
    <w:name w:val="toc 2"/>
    <w:basedOn w:val="1"/>
    <w:next w:val="1"/>
    <w:uiPriority w:val="39"/>
    <w:pPr>
      <w:ind w:left="420" w:leftChars="200"/>
    </w:p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0">
    <w:name w:val="p0"/>
    <w:basedOn w:val="1"/>
    <w:qFormat/>
    <w:uiPriority w:val="0"/>
    <w:pPr>
      <w:widowControl/>
    </w:pPr>
    <w:rPr>
      <w:rFonts w:hint="eastAsia" w:ascii="Arial" w:hAnsi="Arial"/>
    </w:rPr>
  </w:style>
  <w:style w:type="paragraph" w:customStyle="1" w:styleId="21">
    <w:name w:val="正文中"/>
    <w:basedOn w:val="1"/>
    <w:qFormat/>
    <w:uiPriority w:val="0"/>
    <w:pPr>
      <w:jc w:val="center"/>
    </w:pPr>
    <w:rPr>
      <w:rFonts w:ascii="Arial" w:hAnsi="Arial"/>
      <w:kern w:val="0"/>
      <w:szCs w:val="21"/>
    </w:rPr>
  </w:style>
  <w:style w:type="paragraph" w:customStyle="1" w:styleId="22">
    <w:name w:val="表头样式"/>
    <w:basedOn w:val="21"/>
    <w:qFormat/>
    <w:uiPriority w:val="0"/>
    <w:pPr>
      <w:spacing w:before="60" w:after="60"/>
    </w:pPr>
    <w:rPr>
      <w:b/>
      <w:bCs/>
    </w:rPr>
  </w:style>
  <w:style w:type="paragraph" w:customStyle="1" w:styleId="23">
    <w:name w:val="表正文样式"/>
    <w:basedOn w:val="11"/>
    <w:qFormat/>
    <w:uiPriority w:val="0"/>
    <w:pPr>
      <w:spacing w:line="300" w:lineRule="auto"/>
      <w:ind w:firstLine="0" w:firstLineChars="0"/>
      <w:jc w:val="left"/>
    </w:pPr>
  </w:style>
  <w:style w:type="character" w:customStyle="1" w:styleId="24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页眉 字符"/>
    <w:basedOn w:val="17"/>
    <w:link w:val="1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字符"/>
    <w:basedOn w:val="17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7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730</Words>
  <Characters>4163</Characters>
  <Lines>34</Lines>
  <Paragraphs>9</Paragraphs>
  <TotalTime>4</TotalTime>
  <ScaleCrop>false</ScaleCrop>
  <LinksUpToDate>false</LinksUpToDate>
  <CharactersWithSpaces>4884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chinauip</dc:creator>
  <cp:lastModifiedBy>余斌</cp:lastModifiedBy>
  <dcterms:modified xsi:type="dcterms:W3CDTF">2020-09-16T07:52:37Z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