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snapToGrid w:val="0"/>
        <w:spacing w:line="600" w:lineRule="exact"/>
        <w:ind w:left="0" w:right="0" w:hanging="840" w:hangingChars="300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重点产业知识产权分析评议项目</w:t>
      </w: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pStyle w:val="4"/>
        <w:jc w:val="center"/>
        <w:rPr>
          <w:rFonts w:hint="eastAsia" w:ascii="方正小标宋简体" w:hAnsi="方正小标宋简体" w:eastAsia="方正小标宋简体" w:cs="黑体"/>
          <w:sz w:val="28"/>
          <w:szCs w:val="21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554"/>
        <w:gridCol w:w="2517"/>
        <w:gridCol w:w="1609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2" w:hRule="atLeast"/>
          <w:tblHeader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立项金额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广州中新知识产权服务有限公司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广州市半导体、芯片产业知识产权分析评议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广州奥凯信息咨询有限公司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广州市生物制药产业知识产权分析评议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广州华进联合专利商标代理有限公司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广州市智能机器人产业知识产权分析评议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天河区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3DEF"/>
    <w:rsid w:val="408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2020-07-17T08:31:00Z</dcterms:created>
  <dc:creator>董大宾</dc:creator>
  <cp:lastModifiedBy>董大宾</cp:lastModifiedBy>
  <dcterms:modified xsi:type="dcterms:W3CDTF">2020-07-17T08:31:58Z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