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600" w:lineRule="exact"/>
        <w:rPr>
          <w:rFonts w:ascii="黑体" w:hAnsi="黑体" w:eastAsia="黑体"/>
          <w:sz w:val="36"/>
          <w:szCs w:val="36"/>
        </w:rPr>
      </w:pPr>
    </w:p>
    <w:p>
      <w:pPr>
        <w:pStyle w:val="4"/>
        <w:spacing w:line="60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sz w:val="44"/>
          <w:szCs w:val="32"/>
        </w:rPr>
        <w:t>企业专利导航项目资金分配方案</w:t>
      </w:r>
    </w:p>
    <w:bookmarkEnd w:id="0"/>
    <w:p>
      <w:pPr>
        <w:snapToGrid w:val="0"/>
        <w:spacing w:line="600" w:lineRule="exact"/>
        <w:jc w:val="both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277"/>
        <w:gridCol w:w="2841"/>
        <w:gridCol w:w="1257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tblHeader/>
          <w:jc w:val="center"/>
        </w:trPr>
        <w:tc>
          <w:tcPr>
            <w:tcW w:w="819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</w:rPr>
              <w:t>立项金额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广州白云山医药集团股份有限公司白云山制药总厂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大品种枸橼酸西地那非二次开发及技术延伸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白云区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中船黄埔文冲船舶有限公司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新型焊接技术专利导航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广州视睿电子科技有限公司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交互智能平板专利导航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佳都新太科技股份有限公司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新一代人工智能交通专利导航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中山大学达安基因股份有限公司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体外诊断试剂专利导航项目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黄埔区</w:t>
            </w:r>
          </w:p>
        </w:tc>
      </w:tr>
    </w:tbl>
    <w:p>
      <w:pPr>
        <w:spacing w:line="600" w:lineRule="exact"/>
      </w:pPr>
    </w:p>
    <w:p>
      <w:pPr>
        <w:snapToGrid w:val="0"/>
        <w:spacing w:line="600" w:lineRule="exact"/>
      </w:pPr>
    </w:p>
    <w:p>
      <w:pPr>
        <w:snapToGrid w:val="0"/>
        <w:spacing w:line="600" w:lineRule="exact"/>
      </w:pPr>
    </w:p>
    <w:p>
      <w:pPr>
        <w:snapToGrid w:val="0"/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A3393"/>
    <w:rsid w:val="371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5">
    <w:name w:val="正文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2020-07-17T08:32:00Z</dcterms:created>
  <dc:creator>董大宾</dc:creator>
  <cp:lastModifiedBy>董大宾</cp:lastModifiedBy>
  <dcterms:modified xsi:type="dcterms:W3CDTF">2020-07-17T08:32:54Z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