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adjustRightInd w:val="0"/>
        <w:spacing w:line="600" w:lineRule="exac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附表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13"/>
        <w:adjustRightIn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</w:rPr>
        <w:t>2021年第一季度全市各行业市场主体分布</w:t>
      </w:r>
    </w:p>
    <w:p>
      <w:pPr>
        <w:pStyle w:val="13"/>
        <w:adjustRightIn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</w:rPr>
        <w:t>情况表</w:t>
      </w:r>
    </w:p>
    <w:p>
      <w:pPr>
        <w:pStyle w:val="13"/>
        <w:adjustRightIn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</w:rPr>
        <w:t>（不含农民专业合作社）</w:t>
      </w:r>
    </w:p>
    <w:p>
      <w:pPr>
        <w:pStyle w:val="13"/>
        <w:adjustRightIn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</w:rPr>
      </w:pPr>
    </w:p>
    <w:tbl>
      <w:tblPr>
        <w:tblStyle w:val="6"/>
        <w:tblW w:w="8753" w:type="dxa"/>
        <w:jc w:val="center"/>
        <w:tblInd w:w="-20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5"/>
        <w:gridCol w:w="952"/>
        <w:gridCol w:w="800"/>
        <w:gridCol w:w="852"/>
        <w:gridCol w:w="850"/>
        <w:gridCol w:w="900"/>
        <w:gridCol w:w="800"/>
        <w:gridCol w:w="829"/>
        <w:gridCol w:w="7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1085850" cy="723265"/>
                      <wp:effectExtent l="2540" t="3810" r="16510" b="1587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7060" y="1765935"/>
                                <a:ext cx="1085850" cy="723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1pt;height:56.95pt;width:85.5pt;z-index:251658240;mso-width-relative:page;mso-height-relative:page;" filled="f" stroked="t" coordsize="21600,21600" o:gfxdata="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EYVj1AAAAAYBAAAPAAAAAAAAAAEAIAAAACIA&#10;AABkcnMvZG93bnJldi54bWxQSwECFAAUAAAACACHTuJAJP0w+NQBAABqAwAADgAAAAAAAAABACAA&#10;AAAj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项目</w:t>
            </w:r>
          </w:p>
          <w:p>
            <w:pPr>
              <w:pStyle w:val="15"/>
              <w:widowControl/>
              <w:adjustRightInd w:val="0"/>
              <w:spacing w:line="280" w:lineRule="exact"/>
              <w:ind w:firstLine="360"/>
              <w:jc w:val="both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行业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实有登记</w:t>
            </w:r>
          </w:p>
        </w:tc>
        <w:tc>
          <w:tcPr>
            <w:tcW w:w="3324" w:type="dxa"/>
            <w:gridSpan w:val="4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1-3月新登记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户数</w:t>
            </w:r>
          </w:p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（户）</w:t>
            </w:r>
          </w:p>
        </w:tc>
        <w:tc>
          <w:tcPr>
            <w:tcW w:w="800" w:type="dxa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占比</w:t>
            </w:r>
          </w:p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（％）</w:t>
            </w:r>
          </w:p>
        </w:tc>
        <w:tc>
          <w:tcPr>
            <w:tcW w:w="852" w:type="dxa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2020年同比</w:t>
            </w:r>
          </w:p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(±％)</w:t>
            </w:r>
          </w:p>
        </w:tc>
        <w:tc>
          <w:tcPr>
            <w:tcW w:w="850" w:type="dxa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2019年同比</w:t>
            </w:r>
          </w:p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(±％)</w:t>
            </w:r>
          </w:p>
        </w:tc>
        <w:tc>
          <w:tcPr>
            <w:tcW w:w="900" w:type="dxa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户数</w:t>
            </w:r>
          </w:p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（户）</w:t>
            </w:r>
          </w:p>
        </w:tc>
        <w:tc>
          <w:tcPr>
            <w:tcW w:w="800" w:type="dxa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占比</w:t>
            </w:r>
          </w:p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（％）</w:t>
            </w:r>
          </w:p>
        </w:tc>
        <w:tc>
          <w:tcPr>
            <w:tcW w:w="829" w:type="dxa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2020年同比</w:t>
            </w:r>
          </w:p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(±％)</w:t>
            </w:r>
          </w:p>
        </w:tc>
        <w:tc>
          <w:tcPr>
            <w:tcW w:w="795" w:type="dxa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2019年同比</w:t>
            </w:r>
          </w:p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(±％)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合  计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2,764,777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16.06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31.26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129,448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62.27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40.53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农、林、牧、渔业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12,231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0.44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8.64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16.49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359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0.28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34.96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-19.14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采矿业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0.004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27.59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46.05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0.005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200.00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制造业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173,186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6.26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2.98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5.32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3,822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2.95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14.12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26.31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电力、热力、燃气及水生产和供应业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1,355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0.05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23.86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38.27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0.03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-53.76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126.32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建筑业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63,100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2.28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4.68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17.57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2,527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1.95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43.99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批发和零售业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1,406,539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50.87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17.52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32.91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68,418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52.85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67.10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66.02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交通运输、仓储和邮政业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47,785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1.73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18.59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27.74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1,751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1.35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68.04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10.61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住宿和餐饮业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204,079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7.38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11.06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23.29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7,050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5.45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25.69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26.21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信息传输、软件和信息技术服务业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146,665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5.30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40.35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101.83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15,605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12.06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364.99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34.71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金融业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8,944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0.32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-5.75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-5.73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0.04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-12.96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-85.93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房地产业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41,734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1.51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9.89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21.25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2,332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1.80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155.42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85.52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租赁和商务服务业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253,450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9.17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13.28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30.50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11,140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8.61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14.54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10.22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科学研究和技术服务业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216,564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7.83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11.40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25.89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9,344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7.22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56.65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-6.82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水利、环境和公共设施管理业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2,162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0.08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9.86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28.54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0.08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34.18%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76.67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居民服务、修理和其他服务业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99,691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3.61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12.31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21.14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3,115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2.41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82.70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43.75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教育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4,813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0.17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3.84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4.97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0.13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101.18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14.77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卫生和社会工作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29,423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1.06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271.46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642.07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1,048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0.81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-68.75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376.36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文化、体育和娱乐业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52,942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1.91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12.85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31.73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2,564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1.98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74.07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26.55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975" w:type="dxa"/>
            <w:shd w:val="clear" w:color="auto" w:fill="FFFFFF"/>
            <w:vAlign w:val="center"/>
          </w:tcPr>
          <w:p>
            <w:pPr>
              <w:pStyle w:val="15"/>
              <w:widowControl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</w:rPr>
              <w:t>其他</w:t>
            </w:r>
          </w:p>
        </w:tc>
        <w:tc>
          <w:tcPr>
            <w:tcW w:w="952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0.0001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-25.00</w:t>
            </w:r>
          </w:p>
        </w:tc>
        <w:tc>
          <w:tcPr>
            <w:tcW w:w="850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200.00</w:t>
            </w:r>
          </w:p>
        </w:tc>
        <w:tc>
          <w:tcPr>
            <w:tcW w:w="900" w:type="dxa"/>
            <w:shd w:val="solid" w:color="FFFFFF" w:fill="auto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  <w:t>---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---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  <w:t>---</w:t>
            </w:r>
          </w:p>
        </w:tc>
        <w:tc>
          <w:tcPr>
            <w:tcW w:w="79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shd w:val="clear" w:color="auto" w:fill="FFFFFF"/>
              </w:rPr>
              <w:t>---</w:t>
            </w:r>
          </w:p>
        </w:tc>
      </w:tr>
    </w:tbl>
    <w:p>
      <w:pPr>
        <w:pStyle w:val="12"/>
        <w:widowControl/>
        <w:adjustRightInd w:val="0"/>
        <w:spacing w:line="60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70286"/>
    <w:rsid w:val="0AB70286"/>
    <w:rsid w:val="4B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8">
    <w:name w:val="p16"/>
    <w:basedOn w:val="9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10">
    <w:name w:val="Normal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11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12">
    <w:name w:val="Normal New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13">
    <w:name w:val="p22 New"/>
    <w:basedOn w:val="14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4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5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6">
    <w:name w:val="Normal New New New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正文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p17"/>
    <w:basedOn w:val="1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2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2021-04-19T09:32:00Z</dcterms:created>
  <dc:creator>陈淑华</dc:creator>
  <cp:lastModifiedBy>张凯</cp:lastModifiedBy>
  <dcterms:modified xsi:type="dcterms:W3CDTF">2021-04-27T02:00:38Z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