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jc w:val="both"/>
        <w:textAlignment w:val="auto"/>
        <w:rPr>
          <w:rFonts w:hint="eastAsia" w:ascii="黑体" w:hAnsi="黑体" w:eastAsia="黑体" w:cs="黑体"/>
          <w:color w:val="000000"/>
          <w:kern w:val="0"/>
          <w:sz w:val="32"/>
          <w:szCs w:val="32"/>
          <w:lang w:val="en-US" w:eastAsia="zh-CN"/>
        </w:rPr>
      </w:pPr>
    </w:p>
    <w:p>
      <w:pPr>
        <w:pStyle w:val="16"/>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jc w:val="both"/>
        <w:textAlignment w:val="auto"/>
        <w:rPr>
          <w:rFonts w:hint="default" w:ascii="Times New Roman" w:hAnsi="Times New Roman" w:eastAsia="黑体" w:cs="Times New Roman"/>
          <w:color w:val="000000"/>
          <w:kern w:val="0"/>
          <w:sz w:val="32"/>
          <w:szCs w:val="32"/>
          <w:lang w:val="en-US" w:eastAsia="zh-CN"/>
        </w:rPr>
      </w:pPr>
      <w:bookmarkStart w:id="0" w:name="_GoBack"/>
      <w:bookmarkEnd w:id="0"/>
      <w:r>
        <w:rPr>
          <w:rFonts w:hint="default" w:ascii="Times New Roman" w:hAnsi="Times New Roman" w:eastAsia="黑体" w:cs="Times New Roman"/>
          <w:color w:val="000000"/>
          <w:kern w:val="0"/>
          <w:sz w:val="32"/>
          <w:szCs w:val="32"/>
          <w:lang w:val="en-US" w:eastAsia="zh-CN"/>
        </w:rPr>
        <w:t>附表</w:t>
      </w:r>
      <w:r>
        <w:rPr>
          <w:rFonts w:hint="eastAsia" w:ascii="Times New Roman" w:hAnsi="Times New Roman" w:eastAsia="黑体" w:cs="Times New Roman"/>
          <w:color w:val="000000"/>
          <w:kern w:val="0"/>
          <w:sz w:val="32"/>
          <w:szCs w:val="32"/>
          <w:lang w:val="en-US" w:eastAsia="zh-CN"/>
        </w:rPr>
        <w:t>3</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kern w:val="0"/>
          <w:sz w:val="36"/>
          <w:szCs w:val="36"/>
        </w:rPr>
      </w:pPr>
      <w:r>
        <w:rPr>
          <w:rFonts w:hint="default" w:ascii="Times New Roman" w:hAnsi="Times New Roman" w:eastAsia="方正小标宋简体" w:cs="Times New Roman"/>
          <w:b w:val="0"/>
          <w:bCs w:val="0"/>
          <w:color w:val="000000"/>
          <w:kern w:val="0"/>
          <w:sz w:val="36"/>
          <w:szCs w:val="36"/>
        </w:rPr>
        <w:t>20</w:t>
      </w:r>
      <w:r>
        <w:rPr>
          <w:rFonts w:hint="default" w:ascii="Times New Roman" w:hAnsi="Times New Roman" w:eastAsia="方正小标宋简体" w:cs="Times New Roman"/>
          <w:b w:val="0"/>
          <w:bCs w:val="0"/>
          <w:color w:val="000000"/>
          <w:kern w:val="0"/>
          <w:sz w:val="36"/>
          <w:szCs w:val="36"/>
          <w:lang w:val="en-US" w:eastAsia="zh-CN"/>
        </w:rPr>
        <w:t>20</w:t>
      </w:r>
      <w:r>
        <w:rPr>
          <w:rFonts w:hint="default" w:ascii="Times New Roman" w:hAnsi="Times New Roman" w:eastAsia="方正小标宋简体" w:cs="Times New Roman"/>
          <w:b w:val="0"/>
          <w:bCs w:val="0"/>
          <w:color w:val="000000"/>
          <w:kern w:val="0"/>
          <w:sz w:val="36"/>
          <w:szCs w:val="36"/>
        </w:rPr>
        <w:t>年</w:t>
      </w:r>
      <w:r>
        <w:rPr>
          <w:rFonts w:hint="default" w:ascii="Times New Roman" w:hAnsi="Times New Roman" w:eastAsia="方正小标宋简体" w:cs="Times New Roman"/>
          <w:b w:val="0"/>
          <w:bCs w:val="0"/>
          <w:color w:val="000000"/>
          <w:kern w:val="0"/>
          <w:sz w:val="36"/>
          <w:szCs w:val="36"/>
          <w:lang w:eastAsia="zh-CN"/>
        </w:rPr>
        <w:t>全市</w:t>
      </w:r>
      <w:r>
        <w:rPr>
          <w:rFonts w:hint="default" w:ascii="Times New Roman" w:hAnsi="Times New Roman" w:eastAsia="方正小标宋简体" w:cs="Times New Roman"/>
          <w:b w:val="0"/>
          <w:bCs w:val="0"/>
          <w:color w:val="000000"/>
          <w:kern w:val="0"/>
          <w:sz w:val="36"/>
          <w:szCs w:val="36"/>
        </w:rPr>
        <w:t>各行业市场主体分布情况表</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kern w:val="0"/>
          <w:sz w:val="36"/>
          <w:szCs w:val="36"/>
        </w:rPr>
      </w:pPr>
      <w:r>
        <w:rPr>
          <w:rFonts w:hint="default" w:ascii="Times New Roman" w:hAnsi="Times New Roman" w:eastAsia="方正小标宋简体" w:cs="Times New Roman"/>
          <w:b w:val="0"/>
          <w:bCs w:val="0"/>
          <w:color w:val="000000"/>
          <w:kern w:val="0"/>
          <w:sz w:val="36"/>
          <w:szCs w:val="36"/>
        </w:rPr>
        <w:t>（不含农民专业合作社）</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36"/>
          <w:szCs w:val="36"/>
        </w:rPr>
      </w:pPr>
    </w:p>
    <w:tbl>
      <w:tblPr>
        <w:tblStyle w:val="7"/>
        <w:tblW w:w="9601" w:type="dxa"/>
        <w:jc w:val="center"/>
        <w:tblInd w:w="-7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3074"/>
        <w:gridCol w:w="1123"/>
        <w:gridCol w:w="967"/>
        <w:gridCol w:w="983"/>
        <w:gridCol w:w="983"/>
        <w:gridCol w:w="1106"/>
        <w:gridCol w:w="13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18" w:hRule="atLeast"/>
          <w:jc w:val="center"/>
        </w:trPr>
        <w:tc>
          <w:tcPr>
            <w:tcW w:w="3074" w:type="dxa"/>
            <w:vMerge w:val="restart"/>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 xml:space="preserve">     </w:t>
            </w:r>
            <w:r>
              <w:rPr>
                <w:rFonts w:hint="default" w:ascii="Times New Roman" w:hAnsi="Times New Roman" w:eastAsia="宋体" w:cs="Times New Roman"/>
                <w:b/>
                <w:bCs/>
                <w:color w:val="000000"/>
                <w:kern w:val="0"/>
                <w:sz w:val="24"/>
                <w:szCs w:val="24"/>
                <w:lang w:val="en-US" w:eastAsia="zh-CN"/>
              </w:rPr>
              <w:t xml:space="preserve">      </w:t>
            </w:r>
            <w:r>
              <w:rPr>
                <w:rFonts w:hint="default" w:ascii="Times New Roman" w:hAnsi="Times New Roman" w:eastAsia="宋体" w:cs="Times New Roman"/>
                <w:b/>
                <w:bCs/>
                <w:color w:val="000000"/>
                <w:kern w:val="0"/>
                <w:sz w:val="24"/>
                <w:szCs w:val="24"/>
              </w:rPr>
              <w:t xml:space="preserve"> 项目</w:t>
            </w:r>
          </w:p>
          <w:p>
            <w:pPr>
              <w:pStyle w:val="17"/>
              <w:widowControl/>
              <w:ind w:firstLine="482" w:firstLineChars="200"/>
              <w:jc w:val="both"/>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行业</w:t>
            </w:r>
            <w:r>
              <w:rPr>
                <w:rFonts w:hint="default" w:ascii="Times New Roman" w:hAnsi="Times New Roman" w:eastAsia="宋体" w:cs="Times New Roman"/>
                <w:b/>
                <w:bCs/>
                <w:color w:val="000000"/>
                <w:kern w:val="0"/>
                <w:sz w:val="24"/>
                <w:szCs w:val="24"/>
                <w:lang w:val="en-US" w:eastAsia="zh-CN"/>
              </w:rPr>
              <w:t xml:space="preserve">   </w:t>
            </w:r>
            <w:r>
              <w:rPr>
                <w:rFonts w:hint="default" w:ascii="Times New Roman" w:hAnsi="Times New Roman" w:eastAsia="宋体" w:cs="Times New Roman"/>
                <w:b/>
                <w:bCs/>
                <w:color w:val="000000"/>
                <w:kern w:val="0"/>
                <w:sz w:val="24"/>
                <w:szCs w:val="24"/>
              </w:rPr>
              <w:t xml:space="preserve">                 </w:t>
            </w:r>
          </w:p>
        </w:tc>
        <w:tc>
          <w:tcPr>
            <w:tcW w:w="3073" w:type="dxa"/>
            <w:gridSpan w:val="3"/>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实有登记</w:t>
            </w:r>
          </w:p>
        </w:tc>
        <w:tc>
          <w:tcPr>
            <w:tcW w:w="3454" w:type="dxa"/>
            <w:gridSpan w:val="3"/>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新登记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2" w:hRule="atLeast"/>
          <w:jc w:val="center"/>
        </w:trPr>
        <w:tc>
          <w:tcPr>
            <w:tcW w:w="3074" w:type="dxa"/>
            <w:vMerge w:val="continue"/>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p>
        </w:tc>
        <w:tc>
          <w:tcPr>
            <w:tcW w:w="1123" w:type="dxa"/>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户数</w:t>
            </w:r>
          </w:p>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（户）</w:t>
            </w:r>
          </w:p>
        </w:tc>
        <w:tc>
          <w:tcPr>
            <w:tcW w:w="967" w:type="dxa"/>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占比</w:t>
            </w:r>
          </w:p>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c>
          <w:tcPr>
            <w:tcW w:w="983" w:type="dxa"/>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同比</w:t>
            </w:r>
          </w:p>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c>
          <w:tcPr>
            <w:tcW w:w="983" w:type="dxa"/>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户数</w:t>
            </w:r>
          </w:p>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（户）</w:t>
            </w:r>
          </w:p>
        </w:tc>
        <w:tc>
          <w:tcPr>
            <w:tcW w:w="1106" w:type="dxa"/>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占比</w:t>
            </w:r>
          </w:p>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c>
          <w:tcPr>
            <w:tcW w:w="1365" w:type="dxa"/>
            <w:tcBorders>
              <w:tl2br w:val="nil"/>
              <w:tr2bl w:val="nil"/>
            </w:tcBorders>
            <w:vAlign w:val="center"/>
          </w:tcPr>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同比</w:t>
            </w:r>
          </w:p>
          <w:p>
            <w:pPr>
              <w:pStyle w:val="17"/>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03" w:hRule="atLeast"/>
          <w:jc w:val="center"/>
        </w:trPr>
        <w:tc>
          <w:tcPr>
            <w:tcW w:w="3074" w:type="dxa"/>
            <w:tcBorders>
              <w:tl2br w:val="nil"/>
              <w:tr2bl w:val="nil"/>
            </w:tcBorders>
            <w:shd w:val="clear" w:color="auto" w:fill="FFFFFF"/>
            <w:vAlign w:val="center"/>
          </w:tcPr>
          <w:p>
            <w:pPr>
              <w:pStyle w:val="22"/>
              <w:widowControl/>
              <w:jc w:val="center"/>
              <w:rPr>
                <w:rFonts w:hint="default" w:ascii="Times New Roman" w:hAnsi="Times New Roman" w:eastAsia="宋体" w:cs="Times New Roman"/>
                <w:b/>
                <w:bCs w:val="0"/>
                <w:color w:val="000000"/>
                <w:kern w:val="0"/>
                <w:sz w:val="24"/>
                <w:szCs w:val="24"/>
              </w:rPr>
            </w:pPr>
            <w:r>
              <w:rPr>
                <w:rFonts w:hint="default" w:ascii="Times New Roman" w:hAnsi="Times New Roman" w:eastAsia="宋体" w:cs="Times New Roman"/>
                <w:b/>
                <w:bCs w:val="0"/>
                <w:color w:val="000000"/>
                <w:kern w:val="0"/>
                <w:sz w:val="24"/>
                <w:szCs w:val="24"/>
              </w:rPr>
              <w:t>合  计</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b/>
                <w:bCs w:val="0"/>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2,695,071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val="0"/>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100.00</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val="0"/>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15.78</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b/>
                <w:bCs w:val="0"/>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552380</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bCs w:val="0"/>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100.00</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bCs w:val="0"/>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24.83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25"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农、林、牧、渔业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12,042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0.45</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8.52</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1581</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0.29</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采矿业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104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0.004</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22.35</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24</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0.004</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84.62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制造业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171,668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6.37</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3.13</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15774</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2.86</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25"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电力、热力、燃气及水生产和供应业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1,400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0.05</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35.66</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433</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0.08</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337.37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建筑业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66,426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2.46</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12.44</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11162</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2.02</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8.87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批发和零售业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1,366,079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50.69</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17.03</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288464</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52.22</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35.41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交通运输、仓储和邮政业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46,869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1.74</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18.19</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10248</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1.86</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住宿和餐饮业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201,747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7.49</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11.89</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38149</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6.91</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15.20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36"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信息传输、软件和信息技术服务业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134,945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5.01</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31.97</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40752</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7.38</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-8.78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金融业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8,951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0.33</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-6.51</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293</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0.05</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-54.99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55"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房地产业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40,195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1.49</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6.91</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5918</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1.07</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-11.06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租赁和商务服务业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249,573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9.26</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14.78</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53829</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9.74</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14.91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科学研究和技术服务业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212,918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7.90</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11.62</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37011</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6.70</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-4.77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01"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水利、环境和公共设施管理业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2,192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0.08</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15.01</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386</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0.07</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17.68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09"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居民服务、修理和其他服务业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94,764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3.52</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7.88</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13259</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2.40</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4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教育</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4,721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0.18</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1.99</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549</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0.10</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卫生和社会工作</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28,960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1.07</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526.03</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24642</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4.46</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2192.28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文化、体育和娱乐业</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51,511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1.91</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11.77</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9904</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1.79</w:t>
            </w:r>
          </w:p>
        </w:tc>
        <w:tc>
          <w:tcPr>
            <w:tcW w:w="13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-6.03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82" w:hRule="exact"/>
          <w:jc w:val="center"/>
        </w:trPr>
        <w:tc>
          <w:tcPr>
            <w:tcW w:w="3074" w:type="dxa"/>
            <w:tcBorders>
              <w:tl2br w:val="nil"/>
              <w:tr2bl w:val="nil"/>
            </w:tcBorders>
            <w:shd w:val="clear" w:color="auto" w:fill="FFFFFF"/>
            <w:vAlign w:val="center"/>
          </w:tcPr>
          <w:p>
            <w:pPr>
              <w:pStyle w:val="22"/>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其他</w:t>
            </w:r>
          </w:p>
        </w:tc>
        <w:tc>
          <w:tcPr>
            <w:tcW w:w="112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 xml:space="preserve">6 </w:t>
            </w:r>
          </w:p>
        </w:tc>
        <w:tc>
          <w:tcPr>
            <w:tcW w:w="96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0.0002</w:t>
            </w:r>
          </w:p>
        </w:tc>
        <w:tc>
          <w:tcPr>
            <w:tcW w:w="98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rPr>
            </w:pPr>
            <w:r>
              <w:rPr>
                <w:rFonts w:hint="default" w:ascii="Times New Roman" w:hAnsi="Times New Roman" w:eastAsia="宋体" w:cs="Times New Roman"/>
                <w:i w:val="0"/>
                <w:color w:val="000000"/>
                <w:kern w:val="0"/>
                <w:sz w:val="24"/>
                <w:szCs w:val="24"/>
                <w:u w:val="none"/>
                <w:lang w:val="en-US" w:eastAsia="zh-CN" w:bidi="ar"/>
              </w:rPr>
              <w:t>50.00</w:t>
            </w:r>
          </w:p>
        </w:tc>
        <w:tc>
          <w:tcPr>
            <w:tcW w:w="983"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lang w:val="en-US" w:eastAsia="zh-CN"/>
              </w:rPr>
            </w:pPr>
            <w:r>
              <w:rPr>
                <w:rFonts w:hint="default" w:ascii="Times New Roman" w:hAnsi="Times New Roman" w:eastAsia="宋体" w:cs="Times New Roman"/>
                <w:i w:val="0"/>
                <w:color w:val="000000"/>
                <w:kern w:val="0"/>
                <w:sz w:val="24"/>
                <w:szCs w:val="24"/>
                <w:u w:val="none"/>
                <w:lang w:val="en-US" w:eastAsia="zh-CN" w:bidi="ar"/>
              </w:rPr>
              <w:t>2</w:t>
            </w:r>
          </w:p>
        </w:tc>
        <w:tc>
          <w:tcPr>
            <w:tcW w:w="110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0.0004</w:t>
            </w:r>
          </w:p>
        </w:tc>
        <w:tc>
          <w:tcPr>
            <w:tcW w:w="1365" w:type="dxa"/>
            <w:tcBorders>
              <w:tl2br w:val="nil"/>
              <w:tr2bl w:val="nil"/>
            </w:tcBorders>
            <w:vAlign w:val="center"/>
          </w:tcPr>
          <w:p>
            <w:pPr>
              <w:jc w:val="center"/>
              <w:rPr>
                <w:rFonts w:hint="default" w:ascii="Times New Roman" w:hAnsi="Times New Roman" w:eastAsia="宋体" w:cs="Times New Roman"/>
                <w:color w:val="000000"/>
                <w:sz w:val="24"/>
                <w:szCs w:val="24"/>
                <w:shd w:val="clear" w:color="auto" w:fill="FFFFFF"/>
                <w:lang w:eastAsia="zh-CN"/>
              </w:rPr>
            </w:pPr>
            <w:r>
              <w:rPr>
                <w:rFonts w:hint="default" w:ascii="Times New Roman" w:hAnsi="Times New Roman" w:cs="Times New Roman"/>
                <w:color w:val="000000"/>
                <w:sz w:val="24"/>
                <w:szCs w:val="24"/>
                <w:shd w:val="clear" w:color="auto" w:fill="FFFFFF"/>
                <w:lang w:val="en-US" w:eastAsia="zh-CN"/>
              </w:rPr>
              <w:t>---</w:t>
            </w:r>
          </w:p>
        </w:tc>
      </w:tr>
    </w:tbl>
    <w:p/>
    <w:sectPr>
      <w:footerReference r:id="rId3" w:type="default"/>
      <w:pgSz w:w="11905" w:h="16838"/>
      <w:pgMar w:top="1440" w:right="1440" w:bottom="1797" w:left="1440" w:header="851" w:footer="992" w:gutter="0"/>
      <w:pgBorders>
        <w:top w:val="none" w:sz="0" w:space="0"/>
        <w:left w:val="none" w:sz="0" w:space="0"/>
        <w:bottom w:val="none" w:sz="0" w:space="0"/>
        <w:right w:val="none" w:sz="0" w:space="0"/>
      </w:pgBorders>
      <w:pgNumType w:fmt="numberInDash"/>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42F5C"/>
    <w:rsid w:val="57CF389E"/>
    <w:rsid w:val="6BC42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keepNext/>
      <w:keepLines/>
      <w:spacing w:line="600" w:lineRule="exact"/>
      <w:outlineLvl w:val="1"/>
    </w:pPr>
    <w:rPr>
      <w:rFonts w:ascii="Cambria" w:hAnsi="Cambria" w:eastAsia="黑体" w:cs="宋体"/>
      <w:b/>
      <w:bCs/>
      <w:sz w:val="32"/>
      <w:szCs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2"/>
    <w:basedOn w:val="1"/>
    <w:next w:val="1"/>
    <w:qFormat/>
    <w:uiPriority w:val="0"/>
    <w:pPr>
      <w:ind w:left="420" w:leftChars="200"/>
    </w:pPr>
    <w:rPr>
      <w:rFonts w:ascii="Calibri" w:hAnsi="Calibri" w:eastAsia="宋体" w:cs="Times New Roman"/>
      <w:sz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Normal"/>
    <w:qFormat/>
    <w:uiPriority w:val="0"/>
    <w:pPr>
      <w:widowControl w:val="0"/>
      <w:jc w:val="both"/>
    </w:pPr>
    <w:rPr>
      <w:rFonts w:hint="eastAsia" w:ascii="Times New Roman" w:hAnsi="Times New Roman" w:eastAsia="仿宋_GB2312" w:cs="Times New Roman"/>
      <w:kern w:val="2"/>
      <w:sz w:val="32"/>
      <w:lang w:val="en-US" w:eastAsia="zh-CN"/>
    </w:rPr>
  </w:style>
  <w:style w:type="paragraph" w:customStyle="1" w:styleId="10">
    <w:name w:val="正文 New New"/>
    <w:qFormat/>
    <w:uiPriority w:val="0"/>
    <w:pPr>
      <w:widowControl w:val="0"/>
      <w:jc w:val="both"/>
    </w:pPr>
    <w:rPr>
      <w:rFonts w:ascii="Calibri" w:hAnsi="Calibri" w:eastAsia="宋体" w:cs="黑体"/>
      <w:kern w:val="2"/>
      <w:sz w:val="21"/>
      <w:szCs w:val="22"/>
      <w:lang w:val="en-US" w:eastAsia="zh-CN"/>
    </w:rPr>
  </w:style>
  <w:style w:type="paragraph" w:customStyle="1" w:styleId="11">
    <w:name w:val="p16"/>
    <w:basedOn w:val="12"/>
    <w:qFormat/>
    <w:uiPriority w:val="0"/>
    <w:pPr>
      <w:widowControl/>
    </w:pPr>
    <w:rPr>
      <w:rFonts w:ascii="宋体" w:hAnsi="宋体" w:eastAsia="宋体" w:cs="宋体"/>
      <w:kern w:val="0"/>
      <w:szCs w:val="21"/>
    </w:rPr>
  </w:style>
  <w:style w:type="paragraph" w:customStyle="1" w:styleId="12">
    <w:name w:val="正文 New New New New"/>
    <w:qFormat/>
    <w:uiPriority w:val="0"/>
    <w:pPr>
      <w:widowControl w:val="0"/>
      <w:jc w:val="both"/>
    </w:pPr>
    <w:rPr>
      <w:rFonts w:ascii="Calibri" w:hAnsi="Calibri" w:eastAsia="宋体" w:cs="黑体"/>
      <w:kern w:val="2"/>
      <w:sz w:val="21"/>
      <w:szCs w:val="22"/>
      <w:lang w:val="en-US" w:eastAsia="zh-CN"/>
    </w:rPr>
  </w:style>
  <w:style w:type="paragraph" w:customStyle="1" w:styleId="13">
    <w:name w:val="Normal New New New New New New New New New New"/>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14">
    <w:name w:val="正文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15">
    <w:name w:val="p17"/>
    <w:basedOn w:val="14"/>
    <w:qFormat/>
    <w:uiPriority w:val="0"/>
    <w:pPr>
      <w:widowControl/>
    </w:pPr>
    <w:rPr>
      <w:rFonts w:ascii="宋体" w:hAnsi="宋体" w:eastAsia="宋体" w:cs="宋体"/>
      <w:kern w:val="0"/>
      <w:szCs w:val="21"/>
    </w:rPr>
  </w:style>
  <w:style w:type="paragraph" w:customStyle="1" w:styleId="16">
    <w:name w:val="Normal New New New New New New New New New"/>
    <w:qFormat/>
    <w:uiPriority w:val="0"/>
    <w:pPr>
      <w:widowControl w:val="0"/>
      <w:jc w:val="both"/>
    </w:pPr>
    <w:rPr>
      <w:rFonts w:hint="eastAsia" w:ascii="Calibri" w:hAnsi="Calibri" w:eastAsia="宋体" w:cs="Times New Roman"/>
      <w:kern w:val="2"/>
      <w:sz w:val="21"/>
      <w:lang w:val="en-US" w:eastAsia="zh-CN"/>
    </w:rPr>
  </w:style>
  <w:style w:type="paragraph" w:customStyle="1" w:styleId="17">
    <w:name w:val="Normal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8">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正文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20">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1">
    <w:name w:val="Normal New New New New New New"/>
    <w:qFormat/>
    <w:uiPriority w:val="0"/>
    <w:pPr>
      <w:widowControl w:val="0"/>
      <w:jc w:val="both"/>
    </w:pPr>
    <w:rPr>
      <w:rFonts w:hint="eastAsia" w:ascii="Calibri" w:hAnsi="Calibri" w:eastAsia="宋体" w:cs="Times New Roman"/>
      <w:kern w:val="2"/>
      <w:sz w:val="21"/>
      <w:lang w:val="en-US" w:eastAsia="zh-CN"/>
    </w:rPr>
  </w:style>
  <w:style w:type="paragraph" w:customStyle="1" w:styleId="22">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3">
    <w:name w:val="Normal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4">
    <w:name w:val="Normal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5">
    <w:name w:val="Normal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
    <w:name w:val="Normal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
    <w:name w:val="p22 New"/>
    <w:basedOn w:val="28"/>
    <w:qFormat/>
    <w:uiPriority w:val="0"/>
    <w:pPr>
      <w:widowControl/>
    </w:pPr>
    <w:rPr>
      <w:rFonts w:ascii="宋体" w:hAnsi="宋体" w:eastAsia="宋体" w:cs="宋体"/>
      <w:kern w:val="0"/>
      <w:szCs w:val="21"/>
    </w:rPr>
  </w:style>
  <w:style w:type="paragraph" w:customStyle="1" w:styleId="28">
    <w:name w:val="正文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正文 New New New New New New New New New New New New"/>
    <w:qFormat/>
    <w:uiPriority w:val="0"/>
    <w:pPr>
      <w:widowControl w:val="0"/>
      <w:jc w:val="both"/>
    </w:pPr>
    <w:rPr>
      <w:rFonts w:hint="eastAsia"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2021-04-19T08:04:00Z</dcterms:created>
  <dc:creator>陈淑华</dc:creator>
  <cp:lastModifiedBy>张凯</cp:lastModifiedBy>
  <dcterms:modified xsi:type="dcterms:W3CDTF">2021-04-27T02:06:31Z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