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简体" w:cs="Times New Roman"/>
          <w:color w:val="000000"/>
          <w:sz w:val="32"/>
          <w:szCs w:val="32"/>
        </w:rPr>
      </w:pPr>
      <w:r>
        <w:rPr>
          <w:rFonts w:hint="eastAsia" w:ascii="方正小标宋简体" w:hAnsi="方正小标宋简体" w:eastAsia="方正小标宋简体" w:cs="方正小标宋简体"/>
          <w:sz w:val="32"/>
          <w:szCs w:val="32"/>
        </w:rPr>
        <w:t>广州市市场监督管理局</w:t>
      </w:r>
      <w:r>
        <w:rPr>
          <w:rFonts w:ascii="Times New Roman" w:hAnsi="Times New Roman" w:eastAsia="方正小标宋简体" w:cs="Times New Roman"/>
          <w:color w:val="000000"/>
          <w:sz w:val="32"/>
          <w:szCs w:val="32"/>
        </w:rPr>
        <w:t>建筑防水材料（建筑防水涂料）产品质量监督抽查实施细则</w:t>
      </w:r>
    </w:p>
    <w:p>
      <w:pPr>
        <w:adjustRightInd w:val="0"/>
        <w:snapToGrid w:val="0"/>
        <w:spacing w:line="360" w:lineRule="auto"/>
        <w:jc w:val="center"/>
        <w:rPr>
          <w:rFonts w:ascii="Times New Roman" w:hAnsi="Times New Roman" w:eastAsia="方正小标宋简体" w:cs="Times New Roman"/>
          <w:color w:val="000000"/>
          <w:sz w:val="32"/>
          <w:szCs w:val="32"/>
        </w:rPr>
      </w:pPr>
      <w:r>
        <w:rPr>
          <w:rFonts w:hint="eastAsia" w:ascii="Times New Roman" w:hAnsi="Times New Roman" w:eastAsia="方正小标宋简体" w:cs="Times New Roman"/>
          <w:color w:val="000000"/>
          <w:sz w:val="32"/>
          <w:szCs w:val="32"/>
        </w:rPr>
        <w:t>（2021年5月6日修订版）</w:t>
      </w:r>
      <w:bookmarkStart w:id="0" w:name="_GoBack"/>
      <w:bookmarkEnd w:id="0"/>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1 抽样方法</w:t>
      </w:r>
    </w:p>
    <w:p>
      <w:pPr>
        <w:snapToGrid w:val="0"/>
        <w:spacing w:line="440" w:lineRule="exact"/>
        <w:ind w:firstLine="420" w:firstLineChars="200"/>
        <w:rPr>
          <w:rFonts w:cs="方正仿宋简体" w:asciiTheme="minorEastAsia" w:hAnsiTheme="minorEastAsia"/>
          <w:color w:val="000000"/>
          <w:szCs w:val="21"/>
        </w:rPr>
      </w:pPr>
      <w:r>
        <w:rPr>
          <w:rFonts w:ascii="Times New Roman" w:hAnsi="Times New Roman"/>
          <w:color w:val="000000"/>
          <w:szCs w:val="21"/>
        </w:rPr>
        <w:t>在企业的成品库内随机抽取经企业检验合格或以任何方式表明合格的同一批号、同一规格的产品。</w:t>
      </w:r>
      <w:r>
        <w:rPr>
          <w:rFonts w:hint="eastAsia" w:cs="方正仿宋简体" w:asciiTheme="minorEastAsia" w:hAnsiTheme="minorEastAsia"/>
          <w:color w:val="000000"/>
          <w:szCs w:val="21"/>
        </w:rPr>
        <w:t>有存在多个规格型号满足抽样条件的，应采取随机数法确定拟抽取的规格型号。</w:t>
      </w:r>
    </w:p>
    <w:p>
      <w:pPr>
        <w:snapToGrid w:val="0"/>
        <w:spacing w:line="440" w:lineRule="exact"/>
        <w:ind w:firstLine="420" w:firstLineChars="200"/>
        <w:rPr>
          <w:rFonts w:ascii="宋体" w:hAnsi="宋体"/>
          <w:szCs w:val="21"/>
        </w:rPr>
      </w:pPr>
      <w:r>
        <w:rPr>
          <w:rFonts w:ascii="Times New Roman" w:hAnsi="Times New Roman"/>
          <w:color w:val="000000"/>
          <w:szCs w:val="21"/>
        </w:rPr>
        <w:t>所抽取的产品应在产品贮存期内并应满足检验及异议处理时间要求。</w:t>
      </w:r>
      <w:r>
        <w:rPr>
          <w:rFonts w:hint="eastAsia" w:ascii="Times New Roman" w:hAnsi="Times New Roman" w:cs="Times New Roman"/>
          <w:color w:val="000000"/>
          <w:szCs w:val="21"/>
        </w:rPr>
        <w:t>抽查样品基数应满足抽样数量要求。</w:t>
      </w:r>
    </w:p>
    <w:p>
      <w:pPr>
        <w:spacing w:line="360" w:lineRule="auto"/>
        <w:ind w:firstLine="420" w:firstLineChars="200"/>
        <w:rPr>
          <w:rFonts w:cs="方正仿宋简体" w:asciiTheme="minorEastAsia" w:hAnsiTheme="minorEastAsia"/>
          <w:color w:val="000000"/>
          <w:szCs w:val="21"/>
        </w:rPr>
      </w:pPr>
      <w:r>
        <w:rPr>
          <w:rFonts w:hint="eastAsia" w:cs="方正仿宋简体" w:asciiTheme="minorEastAsia" w:hAnsiTheme="minorEastAsia"/>
          <w:color w:val="000000"/>
          <w:szCs w:val="21"/>
        </w:rPr>
        <w:t>每种产品抽取样品二组（包含配套组分），其中一组作为检验样品，另一组作为备用样品。</w:t>
      </w:r>
    </w:p>
    <w:p>
      <w:pPr>
        <w:spacing w:line="360" w:lineRule="auto"/>
        <w:ind w:firstLine="420" w:firstLineChars="200"/>
        <w:rPr>
          <w:rFonts w:cs="方正仿宋简体" w:asciiTheme="minorEastAsia" w:hAnsiTheme="minorEastAsia"/>
          <w:color w:val="000000"/>
          <w:szCs w:val="21"/>
        </w:rPr>
      </w:pPr>
      <w:r>
        <w:rPr>
          <w:rFonts w:hint="eastAsia" w:cs="方正仿宋简体" w:asciiTheme="minorEastAsia" w:hAnsiTheme="minorEastAsia"/>
          <w:color w:val="000000"/>
          <w:szCs w:val="21"/>
        </w:rPr>
        <w:t>独立包装产品质量≤10</w:t>
      </w:r>
      <w:r>
        <w:rPr>
          <w:rFonts w:cs="方正仿宋简体" w:asciiTheme="minorEastAsia" w:hAnsiTheme="minorEastAsia"/>
          <w:color w:val="000000"/>
          <w:szCs w:val="21"/>
        </w:rPr>
        <w:t>kg</w:t>
      </w:r>
      <w:r>
        <w:rPr>
          <w:rFonts w:hint="eastAsia" w:cs="方正仿宋简体" w:asciiTheme="minorEastAsia" w:hAnsiTheme="minorEastAsia"/>
          <w:color w:val="000000"/>
          <w:szCs w:val="21"/>
        </w:rPr>
        <w:t>或分样会影响产品质量时，随机抽原包装两组；在贮罐、大桶或其他较大容器中抽样，搅拌均匀后抽取样品，抽样量见表1。</w:t>
      </w:r>
    </w:p>
    <w:p>
      <w:pPr>
        <w:spacing w:line="360" w:lineRule="auto"/>
        <w:ind w:firstLine="420" w:firstLineChars="200"/>
        <w:rPr>
          <w:rFonts w:cs="方正仿宋简体" w:asciiTheme="minorEastAsia" w:hAnsiTheme="minorEastAsia"/>
          <w:color w:val="000000"/>
          <w:szCs w:val="21"/>
        </w:rPr>
      </w:pPr>
      <w:r>
        <w:rPr>
          <w:rFonts w:hint="eastAsia" w:cs="方正仿宋简体" w:asciiTheme="minorEastAsia" w:hAnsiTheme="minorEastAsia"/>
          <w:color w:val="000000"/>
          <w:szCs w:val="21"/>
        </w:rPr>
        <w:t>抽样时多组份样品应在抽样单上标注配比。</w:t>
      </w:r>
    </w:p>
    <w:p>
      <w:pPr>
        <w:spacing w:line="360" w:lineRule="auto"/>
        <w:ind w:firstLine="420" w:firstLineChars="200"/>
        <w:rPr>
          <w:rFonts w:cs="方正仿宋简体" w:asciiTheme="minorEastAsia" w:hAnsiTheme="minorEastAsia"/>
          <w:color w:val="000000"/>
          <w:szCs w:val="21"/>
        </w:rPr>
      </w:pPr>
      <w:r>
        <w:rPr>
          <w:rFonts w:hint="eastAsia" w:cs="方正仿宋简体" w:asciiTheme="minorEastAsia" w:hAnsiTheme="minorEastAsia"/>
          <w:color w:val="000000"/>
          <w:szCs w:val="21"/>
        </w:rPr>
        <w:t>随机数一般可使用随机数表、骰子或扑克牌等方法产生。</w:t>
      </w:r>
    </w:p>
    <w:p>
      <w:pPr>
        <w:snapToGrid w:val="0"/>
        <w:spacing w:line="440" w:lineRule="exact"/>
        <w:ind w:firstLine="315" w:firstLineChars="150"/>
        <w:jc w:val="center"/>
        <w:rPr>
          <w:rFonts w:cs="方正仿宋简体" w:asciiTheme="minorEastAsia" w:hAnsiTheme="minorEastAsia"/>
          <w:color w:val="000000"/>
          <w:szCs w:val="21"/>
        </w:rPr>
      </w:pPr>
      <w:r>
        <w:rPr>
          <w:rFonts w:hint="eastAsia" w:cs="方正仿宋简体" w:asciiTheme="minorEastAsia" w:hAnsiTheme="minorEastAsia"/>
          <w:color w:val="000000"/>
          <w:szCs w:val="21"/>
        </w:rPr>
        <w:t>表1</w:t>
      </w:r>
      <w:r>
        <w:rPr>
          <w:rFonts w:cs="方正仿宋简体" w:asciiTheme="minorEastAsia" w:hAnsiTheme="minorEastAsia"/>
          <w:color w:val="000000"/>
          <w:szCs w:val="21"/>
        </w:rPr>
        <w:t>　抽样数量表</w:t>
      </w:r>
    </w:p>
    <w:tbl>
      <w:tblPr>
        <w:tblStyle w:val="5"/>
        <w:tblW w:w="7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cs="方正仿宋简体" w:asciiTheme="minorEastAsia" w:hAnsiTheme="minorEastAsia"/>
                <w:color w:val="000000"/>
                <w:szCs w:val="21"/>
              </w:rPr>
              <w:t>产品种类</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cs="方正仿宋简体" w:asciiTheme="minorEastAsia" w:hAnsiTheme="minorEastAsia"/>
                <w:color w:val="000000"/>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tabs>
                <w:tab w:val="left" w:pos="466"/>
              </w:tabs>
              <w:snapToGrid w:val="0"/>
              <w:spacing w:line="440" w:lineRule="exact"/>
              <w:jc w:val="center"/>
              <w:rPr>
                <w:rFonts w:cs="方正仿宋简体" w:asciiTheme="minorEastAsia" w:hAnsiTheme="minorEastAsia"/>
                <w:color w:val="000000"/>
                <w:szCs w:val="21"/>
              </w:rPr>
            </w:pPr>
            <w:r>
              <w:rPr>
                <w:rFonts w:ascii="Times New Roman" w:hAnsi="Times New Roman"/>
                <w:color w:val="000000"/>
                <w:szCs w:val="21"/>
              </w:rPr>
              <w:t>聚氨酯防水涂料</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主剂：</w:t>
            </w: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配套组分（需要时）</w:t>
            </w:r>
            <w:r>
              <w:rPr>
                <w:rFonts w:cs="方正仿宋简体" w:asciiTheme="minorEastAsia" w:hAnsiTheme="minorEastAsia"/>
                <w:color w:val="000000"/>
                <w:szCs w:val="21"/>
              </w:rPr>
              <w:t>：按配比抽取适量样品，抽2桶；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ascii="Times New Roman" w:hAnsi="Times New Roman"/>
                <w:color w:val="000000"/>
                <w:szCs w:val="21"/>
              </w:rPr>
              <w:t>聚合物水泥防水涂料</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液料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粉料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w:t>
            </w:r>
            <w:r>
              <w:rPr>
                <w:rFonts w:hint="eastAsia" w:cs="方正仿宋简体" w:asciiTheme="minorEastAsia" w:hAnsiTheme="minorEastAsia"/>
                <w:color w:val="000000"/>
                <w:szCs w:val="21"/>
              </w:rPr>
              <w:t>或</w:t>
            </w:r>
            <w:r>
              <w:rPr>
                <w:rFonts w:cs="方正仿宋简体" w:asciiTheme="minorEastAsia" w:hAnsiTheme="minorEastAsia"/>
                <w:color w:val="000000"/>
                <w:szCs w:val="21"/>
              </w:rPr>
              <w:t>按配比抽取适量样品，抽2桶；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ascii="Times New Roman" w:hAnsi="Times New Roman" w:cs="Times New Roman"/>
                <w:color w:val="000000"/>
                <w:szCs w:val="21"/>
              </w:rPr>
              <w:t>水乳性沥青防水涂料</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ascii="Times New Roman" w:hAnsi="Times New Roman" w:cs="Times New Roman"/>
                <w:szCs w:val="21"/>
              </w:rPr>
              <w:t>聚合物乳液建筑防水涂料</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ascii="Times New Roman" w:hAnsi="Times New Roman" w:cs="Times New Roman"/>
                <w:szCs w:val="21"/>
              </w:rPr>
              <w:t>聚合物水泥防水浆料</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液料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粉料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10</w:t>
            </w:r>
            <w:r>
              <w:rPr>
                <w:rFonts w:cs="方正仿宋简体" w:asciiTheme="minorEastAsia" w:hAnsiTheme="minorEastAsia"/>
                <w:color w:val="000000"/>
                <w:szCs w:val="21"/>
              </w:rPr>
              <w:t>kg/桶</w:t>
            </w:r>
            <w:r>
              <w:rPr>
                <w:rFonts w:hint="eastAsia" w:cs="方正仿宋简体" w:asciiTheme="minorEastAsia" w:hAnsiTheme="minorEastAsia"/>
                <w:color w:val="000000"/>
                <w:szCs w:val="21"/>
              </w:rPr>
              <w:t>或</w:t>
            </w:r>
            <w:r>
              <w:rPr>
                <w:rFonts w:cs="方正仿宋简体" w:asciiTheme="minorEastAsia" w:hAnsiTheme="minorEastAsia"/>
                <w:color w:val="000000"/>
                <w:szCs w:val="21"/>
              </w:rPr>
              <w:t>按配比抽取适量样品，抽2桶；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方正仿宋简体" w:asciiTheme="minorEastAsia" w:hAnsiTheme="minorEastAsia"/>
                <w:color w:val="000000"/>
                <w:szCs w:val="21"/>
              </w:rPr>
            </w:pPr>
            <w:r>
              <w:rPr>
                <w:rFonts w:ascii="Times New Roman" w:hAnsi="Times New Roman" w:cs="Times New Roman"/>
                <w:szCs w:val="21"/>
              </w:rPr>
              <w:t>聚合物水泥防水砂浆</w:t>
            </w:r>
          </w:p>
        </w:tc>
        <w:tc>
          <w:tcPr>
            <w:tcW w:w="509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液料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5</w:t>
            </w:r>
            <w:r>
              <w:rPr>
                <w:rFonts w:cs="方正仿宋简体" w:asciiTheme="minorEastAsia" w:hAnsiTheme="minorEastAsia"/>
                <w:color w:val="000000"/>
                <w:szCs w:val="21"/>
              </w:rPr>
              <w:t>kg/桶×2桶</w:t>
            </w:r>
          </w:p>
          <w:p>
            <w:pPr>
              <w:snapToGrid w:val="0"/>
              <w:spacing w:line="440" w:lineRule="exact"/>
              <w:rPr>
                <w:rFonts w:cs="方正仿宋简体" w:asciiTheme="minorEastAsia" w:hAnsiTheme="minorEastAsia"/>
                <w:color w:val="000000"/>
                <w:szCs w:val="21"/>
              </w:rPr>
            </w:pPr>
            <w:r>
              <w:rPr>
                <w:rFonts w:hint="eastAsia" w:cs="方正仿宋简体" w:asciiTheme="minorEastAsia" w:hAnsiTheme="minorEastAsia"/>
                <w:color w:val="000000"/>
                <w:szCs w:val="21"/>
              </w:rPr>
              <w:t>粉料</w:t>
            </w:r>
            <w:r>
              <w:rPr>
                <w:rFonts w:cs="方正仿宋简体" w:asciiTheme="minorEastAsia" w:hAnsiTheme="minorEastAsia"/>
                <w:color w:val="000000"/>
                <w:szCs w:val="21"/>
              </w:rPr>
              <w:t>：</w:t>
            </w:r>
            <w:r>
              <w:rPr>
                <w:rFonts w:hint="eastAsia" w:cs="方正仿宋简体" w:asciiTheme="minorEastAsia" w:hAnsiTheme="minorEastAsia"/>
                <w:color w:val="000000"/>
                <w:szCs w:val="21"/>
              </w:rPr>
              <w:t>10</w:t>
            </w:r>
            <w:r>
              <w:rPr>
                <w:rFonts w:cs="方正仿宋简体" w:asciiTheme="minorEastAsia" w:hAnsiTheme="minorEastAsia"/>
                <w:color w:val="000000"/>
                <w:szCs w:val="21"/>
              </w:rPr>
              <w:t>kg/桶</w:t>
            </w:r>
            <w:r>
              <w:rPr>
                <w:rFonts w:hint="eastAsia" w:cs="方正仿宋简体" w:asciiTheme="minorEastAsia" w:hAnsiTheme="minorEastAsia"/>
                <w:color w:val="000000"/>
                <w:szCs w:val="21"/>
              </w:rPr>
              <w:t>或</w:t>
            </w:r>
            <w:r>
              <w:rPr>
                <w:rFonts w:cs="方正仿宋简体" w:asciiTheme="minorEastAsia" w:hAnsiTheme="minorEastAsia"/>
                <w:color w:val="000000"/>
                <w:szCs w:val="21"/>
              </w:rPr>
              <w:t>按配比抽取适量样品，抽2桶；</w:t>
            </w:r>
          </w:p>
          <w:p>
            <w:pPr>
              <w:snapToGrid w:val="0"/>
              <w:spacing w:line="440" w:lineRule="exact"/>
              <w:rPr>
                <w:rFonts w:cs="方正仿宋简体" w:asciiTheme="minorEastAsia" w:hAnsiTheme="minorEastAsia"/>
                <w:color w:val="000000"/>
                <w:szCs w:val="21"/>
              </w:rPr>
            </w:pPr>
            <w:r>
              <w:rPr>
                <w:rFonts w:cs="方正仿宋简体" w:asciiTheme="minorEastAsia" w:hAnsiTheme="minorEastAsia"/>
                <w:color w:val="000000"/>
                <w:szCs w:val="21"/>
              </w:rPr>
              <w:t>或抽取原包装产品2组。</w:t>
            </w:r>
          </w:p>
        </w:tc>
      </w:tr>
    </w:tbl>
    <w:p>
      <w:pPr>
        <w:snapToGrid w:val="0"/>
        <w:spacing w:line="440" w:lineRule="exact"/>
        <w:ind w:firstLine="315" w:firstLineChars="150"/>
        <w:rPr>
          <w:rFonts w:cs="方正仿宋简体" w:asciiTheme="minorEastAsia" w:hAnsiTheme="minorEastAsia"/>
          <w:color w:val="000000"/>
          <w:szCs w:val="21"/>
        </w:rPr>
      </w:pPr>
    </w:p>
    <w:p>
      <w:pPr>
        <w:adjustRightInd w:val="0"/>
        <w:snapToGrid w:val="0"/>
        <w:spacing w:line="360" w:lineRule="auto"/>
        <w:ind w:firstLine="420" w:firstLineChars="200"/>
        <w:rPr>
          <w:rFonts w:ascii="Times New Roman" w:hAnsi="Times New Roman" w:cs="Times New Roman"/>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本次抽查检验项目和检验方法依据见表2-表7。</w:t>
      </w:r>
    </w:p>
    <w:p>
      <w:pPr>
        <w:spacing w:line="360" w:lineRule="auto"/>
        <w:ind w:firstLine="420" w:firstLineChars="200"/>
        <w:jc w:val="center"/>
        <w:rPr>
          <w:rFonts w:ascii="Times New Roman" w:hAnsi="Times New Roman" w:cs="Times New Roman"/>
          <w:color w:val="000000"/>
          <w:szCs w:val="21"/>
        </w:rPr>
      </w:pPr>
      <w:r>
        <w:rPr>
          <w:rFonts w:ascii="Times New Roman" w:hAnsi="Times New Roman" w:cs="Times New Roman"/>
          <w:color w:val="000000"/>
          <w:szCs w:val="21"/>
        </w:rPr>
        <w:t>表2 聚氨酯防水涂料检验项目</w:t>
      </w:r>
    </w:p>
    <w:tbl>
      <w:tblPr>
        <w:tblStyle w:val="5"/>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06"/>
        <w:gridCol w:w="2412"/>
        <w:gridCol w:w="1988"/>
        <w:gridCol w:w="92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53"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706"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412"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1988"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1721"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blHeader/>
          <w:jc w:val="center"/>
        </w:trPr>
        <w:tc>
          <w:tcPr>
            <w:tcW w:w="653" w:type="dxa"/>
            <w:vMerge w:val="continue"/>
            <w:vAlign w:val="center"/>
          </w:tcPr>
          <w:p>
            <w:pPr>
              <w:jc w:val="center"/>
              <w:rPr>
                <w:rFonts w:ascii="Times New Roman" w:hAnsi="Times New Roman" w:cs="Times New Roman"/>
                <w:b/>
                <w:color w:val="000000"/>
                <w:szCs w:val="21"/>
              </w:rPr>
            </w:pPr>
          </w:p>
        </w:tc>
        <w:tc>
          <w:tcPr>
            <w:tcW w:w="1706" w:type="dxa"/>
            <w:vMerge w:val="continue"/>
            <w:vAlign w:val="center"/>
          </w:tcPr>
          <w:p>
            <w:pPr>
              <w:jc w:val="center"/>
              <w:rPr>
                <w:rFonts w:ascii="Times New Roman" w:hAnsi="Times New Roman" w:cs="Times New Roman"/>
                <w:b/>
                <w:color w:val="000000"/>
                <w:szCs w:val="21"/>
              </w:rPr>
            </w:pPr>
          </w:p>
        </w:tc>
        <w:tc>
          <w:tcPr>
            <w:tcW w:w="2412" w:type="dxa"/>
            <w:vMerge w:val="continue"/>
            <w:vAlign w:val="center"/>
          </w:tcPr>
          <w:p>
            <w:pPr>
              <w:jc w:val="center"/>
              <w:rPr>
                <w:rFonts w:ascii="Times New Roman" w:hAnsi="Times New Roman" w:cs="Times New Roman"/>
                <w:b/>
                <w:color w:val="000000"/>
                <w:szCs w:val="21"/>
              </w:rPr>
            </w:pPr>
          </w:p>
        </w:tc>
        <w:tc>
          <w:tcPr>
            <w:tcW w:w="1988" w:type="dxa"/>
            <w:vMerge w:val="continue"/>
            <w:vAlign w:val="center"/>
          </w:tcPr>
          <w:p>
            <w:pPr>
              <w:jc w:val="center"/>
              <w:rPr>
                <w:rFonts w:ascii="Times New Roman" w:hAnsi="Times New Roman" w:cs="Times New Roman"/>
                <w:b/>
                <w:color w:val="000000"/>
                <w:szCs w:val="21"/>
              </w:rPr>
            </w:pPr>
          </w:p>
        </w:tc>
        <w:tc>
          <w:tcPr>
            <w:tcW w:w="925"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796"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挥发性有机化合物(VOC)</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甲苯+乙苯+二甲苯</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苯酚</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蒽</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萘</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游离TDI</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可溶性重金属</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w:t>
            </w:r>
            <w:r>
              <w:rPr>
                <w:rFonts w:hint="eastAsia" w:ascii="Times New Roman" w:hAnsi="Times New Roman" w:cs="Times New Roman"/>
                <w:color w:val="000000"/>
                <w:szCs w:val="21"/>
              </w:rPr>
              <w:t>-</w:t>
            </w:r>
            <w:r>
              <w:rPr>
                <w:rFonts w:ascii="Times New Roman" w:hAnsi="Times New Roman" w:cs="Times New Roman"/>
                <w:color w:val="000000"/>
                <w:szCs w:val="21"/>
              </w:rPr>
              <w:t>2008</w:t>
            </w:r>
          </w:p>
        </w:tc>
        <w:tc>
          <w:tcPr>
            <w:tcW w:w="9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96" w:type="dxa"/>
            <w:vAlign w:val="center"/>
          </w:tcPr>
          <w:p>
            <w:pPr>
              <w:jc w:val="center"/>
              <w:rPr>
                <w:rFonts w:ascii="Times New Roman" w:hAnsi="Times New Roman" w:cs="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9</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固体含量</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10</w:t>
            </w:r>
          </w:p>
        </w:tc>
        <w:tc>
          <w:tcPr>
            <w:tcW w:w="1706"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表干时间</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706"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实干时间</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拉伸强度</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断裂伸长率</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14</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撕裂强度</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低温弯折性</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16777-2008</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16</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不透水性</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17</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粘结强度</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16777-2008</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18</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加热伸缩率</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16777-2008</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19</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吸水率</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20</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定伸时老化（加热老化）</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16777-2008</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3"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21</w:t>
            </w:r>
          </w:p>
        </w:tc>
        <w:tc>
          <w:tcPr>
            <w:tcW w:w="170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热处理</w:t>
            </w:r>
          </w:p>
        </w:tc>
        <w:tc>
          <w:tcPr>
            <w:tcW w:w="241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1988"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19250-2013</w:t>
            </w:r>
          </w:p>
        </w:tc>
        <w:tc>
          <w:tcPr>
            <w:tcW w:w="925" w:type="dxa"/>
            <w:vAlign w:val="center"/>
          </w:tcPr>
          <w:p>
            <w:pPr>
              <w:jc w:val="center"/>
              <w:rPr>
                <w:rFonts w:ascii="Times New Roman" w:hAnsi="Times New Roman" w:cs="Times New Roman"/>
                <w:color w:val="000000"/>
                <w:szCs w:val="21"/>
              </w:rPr>
            </w:pPr>
          </w:p>
        </w:tc>
        <w:tc>
          <w:tcPr>
            <w:tcW w:w="79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80" w:type="dxa"/>
            <w:gridSpan w:val="6"/>
            <w:vAlign w:val="center"/>
          </w:tcPr>
          <w:p>
            <w:pPr>
              <w:jc w:val="lef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jc w:val="left"/>
              <w:rPr>
                <w:rFonts w:ascii="Times New Roman" w:hAnsi="Times New Roman" w:cs="Times New Roman"/>
                <w:color w:val="000000"/>
                <w:szCs w:val="21"/>
              </w:rPr>
            </w:pPr>
            <w:r>
              <w:rPr>
                <w:rFonts w:ascii="Times New Roman" w:hAnsi="Times New Roman" w:cs="Times New Roman"/>
                <w:color w:val="000000"/>
                <w:sz w:val="18"/>
                <w:szCs w:val="18"/>
              </w:rPr>
              <w:t>b重要质量项目。</w:t>
            </w:r>
          </w:p>
        </w:tc>
      </w:tr>
    </w:tbl>
    <w:p>
      <w:pPr>
        <w:ind w:firstLine="420" w:firstLineChars="200"/>
        <w:rPr>
          <w:rFonts w:ascii="Times New Roman" w:hAnsi="Times New Roman" w:cs="Times New Roman"/>
          <w:snapToGrid w:val="0"/>
          <w:color w:val="000000"/>
          <w:kern w:val="0"/>
          <w:szCs w:val="21"/>
        </w:rPr>
      </w:pPr>
    </w:p>
    <w:p>
      <w:pPr>
        <w:spacing w:line="360" w:lineRule="auto"/>
        <w:ind w:firstLine="420" w:firstLineChars="20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表3 聚合物水泥防水涂料检验项目</w:t>
      </w:r>
    </w:p>
    <w:tbl>
      <w:tblPr>
        <w:tblStyle w:val="5"/>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96"/>
        <w:gridCol w:w="2609"/>
        <w:gridCol w:w="1805"/>
        <w:gridCol w:w="107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396"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609"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1805"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96"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continue"/>
            <w:vAlign w:val="center"/>
          </w:tcPr>
          <w:p>
            <w:pPr>
              <w:jc w:val="center"/>
              <w:rPr>
                <w:rFonts w:ascii="Times New Roman" w:hAnsi="Times New Roman" w:cs="Times New Roman"/>
                <w:color w:val="000000"/>
                <w:szCs w:val="21"/>
              </w:rPr>
            </w:pPr>
          </w:p>
        </w:tc>
        <w:tc>
          <w:tcPr>
            <w:tcW w:w="1396" w:type="dxa"/>
            <w:vMerge w:val="continue"/>
            <w:vAlign w:val="center"/>
          </w:tcPr>
          <w:p>
            <w:pPr>
              <w:jc w:val="center"/>
              <w:rPr>
                <w:rFonts w:ascii="Times New Roman" w:hAnsi="Times New Roman" w:cs="Times New Roman"/>
                <w:color w:val="000000"/>
                <w:szCs w:val="21"/>
              </w:rPr>
            </w:pPr>
          </w:p>
        </w:tc>
        <w:tc>
          <w:tcPr>
            <w:tcW w:w="2609" w:type="dxa"/>
            <w:vMerge w:val="continue"/>
            <w:vAlign w:val="center"/>
          </w:tcPr>
          <w:p>
            <w:pPr>
              <w:jc w:val="center"/>
              <w:rPr>
                <w:rFonts w:ascii="Times New Roman" w:hAnsi="Times New Roman" w:cs="Times New Roman"/>
                <w:color w:val="000000"/>
                <w:szCs w:val="21"/>
              </w:rPr>
            </w:pPr>
          </w:p>
        </w:tc>
        <w:tc>
          <w:tcPr>
            <w:tcW w:w="1805" w:type="dxa"/>
            <w:vMerge w:val="continue"/>
            <w:vAlign w:val="center"/>
          </w:tcPr>
          <w:p>
            <w:pPr>
              <w:jc w:val="center"/>
              <w:rPr>
                <w:rFonts w:ascii="Times New Roman" w:hAnsi="Times New Roman" w:cs="Times New Roman"/>
                <w:color w:val="000000"/>
                <w:szCs w:val="21"/>
              </w:rPr>
            </w:pPr>
          </w:p>
        </w:tc>
        <w:tc>
          <w:tcPr>
            <w:tcW w:w="107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11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挥发性有机化合物(VOC)</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游离甲醛</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 18582</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苯、甲苯、乙苯和二甲苯总和</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氨</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可溶性重金属</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6</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固体含量</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7</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拉伸强度(无处理)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8</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拉伸强度(加热处理后保持率)</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9</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断裂伸长率</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(无处理)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10</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断裂伸长率</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(加热处理)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低温柔性</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粘结强度(无处理)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不透水性</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23445-2009</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41" w:type="dxa"/>
            <w:gridSpan w:val="6"/>
            <w:vAlign w:val="center"/>
          </w:tcPr>
          <w:p>
            <w:pPr>
              <w:jc w:val="lef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rPr>
                <w:rFonts w:ascii="Times New Roman" w:hAnsi="Times New Roman" w:cs="Times New Roman"/>
                <w:color w:val="000000"/>
                <w:szCs w:val="21"/>
              </w:rPr>
            </w:pPr>
            <w:r>
              <w:rPr>
                <w:rFonts w:ascii="Times New Roman" w:hAnsi="Times New Roman" w:cs="Times New Roman"/>
                <w:color w:val="000000"/>
                <w:sz w:val="18"/>
                <w:szCs w:val="18"/>
              </w:rPr>
              <w:t>b重要质量项目。</w:t>
            </w:r>
          </w:p>
        </w:tc>
      </w:tr>
    </w:tbl>
    <w:p>
      <w:pPr>
        <w:ind w:firstLine="420" w:firstLineChars="200"/>
        <w:rPr>
          <w:rFonts w:ascii="Times New Roman" w:hAnsi="Times New Roman" w:cs="Times New Roman"/>
          <w:snapToGrid w:val="0"/>
          <w:color w:val="000000"/>
          <w:kern w:val="0"/>
          <w:szCs w:val="21"/>
        </w:rPr>
      </w:pPr>
    </w:p>
    <w:p>
      <w:pPr>
        <w:spacing w:line="360" w:lineRule="auto"/>
        <w:ind w:firstLine="420" w:firstLineChars="20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表4 水乳型沥青防水涂料检验项目</w:t>
      </w:r>
    </w:p>
    <w:tbl>
      <w:tblPr>
        <w:tblStyle w:val="5"/>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96"/>
        <w:gridCol w:w="2609"/>
        <w:gridCol w:w="1805"/>
        <w:gridCol w:w="107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396"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609"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1805"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96"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continue"/>
            <w:vAlign w:val="center"/>
          </w:tcPr>
          <w:p>
            <w:pPr>
              <w:jc w:val="center"/>
              <w:rPr>
                <w:rFonts w:ascii="Times New Roman" w:hAnsi="Times New Roman" w:cs="Times New Roman"/>
                <w:color w:val="000000"/>
                <w:szCs w:val="21"/>
              </w:rPr>
            </w:pPr>
          </w:p>
        </w:tc>
        <w:tc>
          <w:tcPr>
            <w:tcW w:w="1396" w:type="dxa"/>
            <w:vMerge w:val="continue"/>
            <w:vAlign w:val="center"/>
          </w:tcPr>
          <w:p>
            <w:pPr>
              <w:jc w:val="center"/>
              <w:rPr>
                <w:rFonts w:ascii="Times New Roman" w:hAnsi="Times New Roman" w:cs="Times New Roman"/>
                <w:color w:val="000000"/>
                <w:szCs w:val="21"/>
              </w:rPr>
            </w:pPr>
          </w:p>
        </w:tc>
        <w:tc>
          <w:tcPr>
            <w:tcW w:w="2609" w:type="dxa"/>
            <w:vMerge w:val="continue"/>
            <w:vAlign w:val="center"/>
          </w:tcPr>
          <w:p>
            <w:pPr>
              <w:jc w:val="center"/>
              <w:rPr>
                <w:rFonts w:ascii="Times New Roman" w:hAnsi="Times New Roman" w:cs="Times New Roman"/>
                <w:color w:val="000000"/>
                <w:szCs w:val="21"/>
              </w:rPr>
            </w:pPr>
          </w:p>
        </w:tc>
        <w:tc>
          <w:tcPr>
            <w:tcW w:w="1805" w:type="dxa"/>
            <w:vMerge w:val="continue"/>
            <w:vAlign w:val="center"/>
          </w:tcPr>
          <w:p>
            <w:pPr>
              <w:jc w:val="center"/>
              <w:rPr>
                <w:rFonts w:ascii="Times New Roman" w:hAnsi="Times New Roman" w:cs="Times New Roman"/>
                <w:color w:val="000000"/>
                <w:szCs w:val="21"/>
              </w:rPr>
            </w:pPr>
          </w:p>
        </w:tc>
        <w:tc>
          <w:tcPr>
            <w:tcW w:w="107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11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挥发性有机化合物(VOC)</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游离甲醛</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 18582</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苯、甲苯、乙苯和二甲苯总和</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氨</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可溶性重金属</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6</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固体含量</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7</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耐热度</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8</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不透水性</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9</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粘结强度</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10</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表干时间</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实干时间</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低温柔度(标准条件)</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断裂伸长率(标准条件)</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408-2005</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41" w:type="dxa"/>
            <w:gridSpan w:val="6"/>
            <w:vAlign w:val="center"/>
          </w:tcPr>
          <w:p>
            <w:pPr>
              <w:jc w:val="lef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rPr>
                <w:rFonts w:ascii="Times New Roman" w:hAnsi="Times New Roman" w:cs="Times New Roman"/>
                <w:color w:val="000000"/>
                <w:szCs w:val="21"/>
              </w:rPr>
            </w:pPr>
            <w:r>
              <w:rPr>
                <w:rFonts w:ascii="Times New Roman" w:hAnsi="Times New Roman" w:cs="Times New Roman"/>
                <w:color w:val="000000"/>
                <w:sz w:val="18"/>
                <w:szCs w:val="18"/>
              </w:rPr>
              <w:t>b重要质量项目。</w:t>
            </w:r>
          </w:p>
        </w:tc>
      </w:tr>
    </w:tbl>
    <w:p>
      <w:pPr>
        <w:spacing w:line="360" w:lineRule="auto"/>
        <w:ind w:firstLine="420" w:firstLineChars="200"/>
        <w:jc w:val="center"/>
        <w:rPr>
          <w:rFonts w:ascii="Times New Roman" w:hAnsi="Times New Roman" w:cs="Times New Roman"/>
          <w:color w:val="000000"/>
          <w:szCs w:val="21"/>
        </w:rPr>
      </w:pPr>
    </w:p>
    <w:p>
      <w:pPr>
        <w:spacing w:line="360" w:lineRule="auto"/>
        <w:ind w:firstLine="420" w:firstLineChars="20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表5 聚合物乳液建筑防水涂料检验项目</w:t>
      </w:r>
    </w:p>
    <w:tbl>
      <w:tblPr>
        <w:tblStyle w:val="5"/>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96"/>
        <w:gridCol w:w="2609"/>
        <w:gridCol w:w="1805"/>
        <w:gridCol w:w="107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396"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609"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1805"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96"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5" w:type="dxa"/>
            <w:vMerge w:val="continue"/>
            <w:vAlign w:val="center"/>
          </w:tcPr>
          <w:p>
            <w:pPr>
              <w:jc w:val="center"/>
              <w:rPr>
                <w:rFonts w:ascii="Times New Roman" w:hAnsi="Times New Roman" w:cs="Times New Roman"/>
                <w:color w:val="000000"/>
                <w:szCs w:val="21"/>
              </w:rPr>
            </w:pPr>
          </w:p>
        </w:tc>
        <w:tc>
          <w:tcPr>
            <w:tcW w:w="1396" w:type="dxa"/>
            <w:vMerge w:val="continue"/>
            <w:vAlign w:val="center"/>
          </w:tcPr>
          <w:p>
            <w:pPr>
              <w:jc w:val="center"/>
              <w:rPr>
                <w:rFonts w:ascii="Times New Roman" w:hAnsi="Times New Roman" w:cs="Times New Roman"/>
                <w:color w:val="000000"/>
                <w:szCs w:val="21"/>
              </w:rPr>
            </w:pPr>
          </w:p>
        </w:tc>
        <w:tc>
          <w:tcPr>
            <w:tcW w:w="2609" w:type="dxa"/>
            <w:vMerge w:val="continue"/>
            <w:vAlign w:val="center"/>
          </w:tcPr>
          <w:p>
            <w:pPr>
              <w:jc w:val="center"/>
              <w:rPr>
                <w:rFonts w:ascii="Times New Roman" w:hAnsi="Times New Roman" w:cs="Times New Roman"/>
                <w:color w:val="000000"/>
                <w:szCs w:val="21"/>
              </w:rPr>
            </w:pPr>
          </w:p>
        </w:tc>
        <w:tc>
          <w:tcPr>
            <w:tcW w:w="1805" w:type="dxa"/>
            <w:vMerge w:val="continue"/>
            <w:vAlign w:val="center"/>
          </w:tcPr>
          <w:p>
            <w:pPr>
              <w:jc w:val="center"/>
              <w:rPr>
                <w:rFonts w:ascii="Times New Roman" w:hAnsi="Times New Roman" w:cs="Times New Roman"/>
                <w:color w:val="000000"/>
                <w:szCs w:val="21"/>
              </w:rPr>
            </w:pPr>
          </w:p>
        </w:tc>
        <w:tc>
          <w:tcPr>
            <w:tcW w:w="107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118"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挥发性有机化合物(VOC)</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游离甲醛</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 18582</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苯、甲苯、乙苯和二甲苯总和</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氨</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可溶性重金属</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10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18"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6</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拉伸强度</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7</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断裂延伸率</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8</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低温柔性</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9</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不透水性</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10</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固体含量</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szCs w:val="21"/>
              </w:rPr>
              <w:t>干燥时间</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eastAsia="宋体" w:cs="Times New Roman"/>
                <w:szCs w:val="21"/>
              </w:rPr>
              <w:t>处理后的拉伸强度保持率（加热处理）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396" w:type="dxa"/>
            <w:vAlign w:val="center"/>
          </w:tcPr>
          <w:p>
            <w:pPr>
              <w:adjustRightInd w:val="0"/>
              <w:snapToGrid w:val="0"/>
              <w:jc w:val="center"/>
              <w:rPr>
                <w:rFonts w:ascii="Times New Roman" w:hAnsi="Times New Roman" w:cs="Times New Roman"/>
                <w:color w:val="000000"/>
                <w:szCs w:val="21"/>
              </w:rPr>
            </w:pPr>
            <w:r>
              <w:rPr>
                <w:rFonts w:ascii="Times New Roman" w:hAnsi="Times New Roman" w:eastAsia="宋体" w:cs="Times New Roman"/>
                <w:szCs w:val="21"/>
              </w:rPr>
              <w:t>处理后的断裂延伸率（加热处理）</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5"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14</w:t>
            </w:r>
          </w:p>
        </w:tc>
        <w:tc>
          <w:tcPr>
            <w:tcW w:w="139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加热伸缩率</w:t>
            </w:r>
          </w:p>
        </w:tc>
        <w:tc>
          <w:tcPr>
            <w:tcW w:w="260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80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864-2008</w:t>
            </w:r>
          </w:p>
        </w:tc>
        <w:tc>
          <w:tcPr>
            <w:tcW w:w="1078" w:type="dxa"/>
            <w:vAlign w:val="center"/>
          </w:tcPr>
          <w:p>
            <w:pPr>
              <w:jc w:val="center"/>
              <w:rPr>
                <w:rFonts w:ascii="Times New Roman" w:hAnsi="Times New Roman" w:cs="Times New Roman"/>
                <w:color w:val="000000"/>
                <w:szCs w:val="21"/>
              </w:rPr>
            </w:pPr>
          </w:p>
        </w:tc>
        <w:tc>
          <w:tcPr>
            <w:tcW w:w="111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41" w:type="dxa"/>
            <w:gridSpan w:val="6"/>
            <w:vAlign w:val="center"/>
          </w:tcPr>
          <w:p>
            <w:pPr>
              <w:jc w:val="left"/>
              <w:rPr>
                <w:rFonts w:ascii="Times New Roman" w:hAnsi="Times New Roman" w:cs="Times New Roman"/>
                <w:color w:val="000000"/>
                <w:szCs w:val="21"/>
              </w:rPr>
            </w:pPr>
            <w:r>
              <w:rPr>
                <w:rFonts w:ascii="Times New Roman" w:hAnsi="Times New Roman" w:cs="Times New Roman"/>
                <w:color w:val="000000"/>
                <w:szCs w:val="21"/>
              </w:rPr>
              <w:t>a极重要质量项目。</w:t>
            </w:r>
          </w:p>
          <w:p>
            <w:pPr>
              <w:rPr>
                <w:rFonts w:ascii="Times New Roman" w:hAnsi="Times New Roman" w:cs="Times New Roman"/>
                <w:color w:val="000000"/>
                <w:szCs w:val="21"/>
              </w:rPr>
            </w:pPr>
            <w:r>
              <w:rPr>
                <w:rFonts w:ascii="Times New Roman" w:hAnsi="Times New Roman" w:cs="Times New Roman"/>
                <w:color w:val="000000"/>
                <w:szCs w:val="21"/>
              </w:rPr>
              <w:t>b重要质量项目。</w:t>
            </w:r>
          </w:p>
        </w:tc>
      </w:tr>
    </w:tbl>
    <w:p>
      <w:pPr>
        <w:spacing w:line="360" w:lineRule="auto"/>
        <w:ind w:firstLine="420" w:firstLineChars="20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表6 聚合物水泥防水浆料检验项目</w:t>
      </w:r>
    </w:p>
    <w:tbl>
      <w:tblPr>
        <w:tblStyle w:val="5"/>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58"/>
        <w:gridCol w:w="6"/>
        <w:gridCol w:w="2352"/>
        <w:gridCol w:w="2075"/>
        <w:gridCol w:w="72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69"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964" w:type="dxa"/>
            <w:gridSpan w:val="2"/>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52"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2075"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1498"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69" w:type="dxa"/>
            <w:vMerge w:val="continue"/>
            <w:vAlign w:val="center"/>
          </w:tcPr>
          <w:p>
            <w:pPr>
              <w:jc w:val="center"/>
              <w:rPr>
                <w:rFonts w:ascii="Times New Roman" w:hAnsi="Times New Roman" w:cs="Times New Roman"/>
                <w:color w:val="000000"/>
                <w:szCs w:val="21"/>
              </w:rPr>
            </w:pPr>
          </w:p>
        </w:tc>
        <w:tc>
          <w:tcPr>
            <w:tcW w:w="1964" w:type="dxa"/>
            <w:gridSpan w:val="2"/>
            <w:vMerge w:val="continue"/>
            <w:vAlign w:val="center"/>
          </w:tcPr>
          <w:p>
            <w:pPr>
              <w:jc w:val="center"/>
              <w:rPr>
                <w:rFonts w:ascii="Times New Roman" w:hAnsi="Times New Roman" w:cs="Times New Roman"/>
                <w:color w:val="000000"/>
                <w:szCs w:val="21"/>
              </w:rPr>
            </w:pPr>
          </w:p>
        </w:tc>
        <w:tc>
          <w:tcPr>
            <w:tcW w:w="2352" w:type="dxa"/>
            <w:vMerge w:val="continue"/>
            <w:vAlign w:val="center"/>
          </w:tcPr>
          <w:p>
            <w:pPr>
              <w:jc w:val="center"/>
              <w:rPr>
                <w:rFonts w:ascii="Times New Roman" w:hAnsi="Times New Roman" w:cs="Times New Roman"/>
                <w:color w:val="000000"/>
                <w:szCs w:val="21"/>
              </w:rPr>
            </w:pPr>
          </w:p>
        </w:tc>
        <w:tc>
          <w:tcPr>
            <w:tcW w:w="2075" w:type="dxa"/>
            <w:vMerge w:val="continue"/>
            <w:vAlign w:val="center"/>
          </w:tcPr>
          <w:p>
            <w:pPr>
              <w:jc w:val="center"/>
              <w:rPr>
                <w:rFonts w:ascii="Times New Roman" w:hAnsi="Times New Roman" w:cs="Times New Roman"/>
                <w:color w:val="000000"/>
                <w:szCs w:val="21"/>
              </w:rPr>
            </w:pPr>
          </w:p>
        </w:tc>
        <w:tc>
          <w:tcPr>
            <w:tcW w:w="725"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773"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挥发性有机化合物(VOC)</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游离甲醛</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 18582</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苯、甲苯、乙苯和二甲苯总和</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氨</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可溶性重金属</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干燥时间</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GB/T 16777-2008</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抗渗压力</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1958"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不透水性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9</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柔韧性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10</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抗压强度</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抗折强度</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粘结强度（无处理）</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耐碱性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14</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耐热性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15</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收缩率</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2090-2011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58" w:type="dxa"/>
            <w:gridSpan w:val="7"/>
            <w:vAlign w:val="center"/>
          </w:tcPr>
          <w:p>
            <w:pPr>
              <w:jc w:val="lef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widowControl/>
              <w:rPr>
                <w:rFonts w:ascii="Times New Roman" w:hAnsi="Times New Roman" w:cs="Times New Roman"/>
                <w:color w:val="000000"/>
                <w:szCs w:val="21"/>
              </w:rPr>
            </w:pPr>
            <w:r>
              <w:rPr>
                <w:rFonts w:ascii="Times New Roman" w:hAnsi="Times New Roman" w:cs="Times New Roman"/>
                <w:color w:val="000000"/>
                <w:sz w:val="18"/>
                <w:szCs w:val="18"/>
              </w:rPr>
              <w:t>b重要质量项目。</w:t>
            </w:r>
          </w:p>
        </w:tc>
      </w:tr>
    </w:tbl>
    <w:p>
      <w:pPr>
        <w:adjustRightInd w:val="0"/>
        <w:snapToGrid w:val="0"/>
        <w:spacing w:line="360" w:lineRule="auto"/>
        <w:ind w:firstLine="359" w:firstLineChars="171"/>
        <w:rPr>
          <w:rFonts w:ascii="Times New Roman" w:hAnsi="Times New Roman" w:cs="Times New Roman"/>
          <w:color w:val="000000"/>
          <w:szCs w:val="21"/>
        </w:rPr>
      </w:pPr>
    </w:p>
    <w:p>
      <w:pPr>
        <w:spacing w:line="360" w:lineRule="auto"/>
        <w:ind w:firstLine="420" w:firstLineChars="20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表7 聚合物水泥防水砂浆检验项目</w:t>
      </w:r>
    </w:p>
    <w:tbl>
      <w:tblPr>
        <w:tblStyle w:val="5"/>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58"/>
        <w:gridCol w:w="6"/>
        <w:gridCol w:w="2352"/>
        <w:gridCol w:w="2075"/>
        <w:gridCol w:w="72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69"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964" w:type="dxa"/>
            <w:gridSpan w:val="2"/>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52"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2075" w:type="dxa"/>
            <w:vMerge w:val="restart"/>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1498"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69" w:type="dxa"/>
            <w:vMerge w:val="continue"/>
            <w:vAlign w:val="center"/>
          </w:tcPr>
          <w:p>
            <w:pPr>
              <w:jc w:val="center"/>
              <w:rPr>
                <w:rFonts w:ascii="Times New Roman" w:hAnsi="Times New Roman" w:cs="Times New Roman"/>
                <w:color w:val="000000"/>
                <w:szCs w:val="21"/>
              </w:rPr>
            </w:pPr>
          </w:p>
        </w:tc>
        <w:tc>
          <w:tcPr>
            <w:tcW w:w="1964" w:type="dxa"/>
            <w:gridSpan w:val="2"/>
            <w:vMerge w:val="continue"/>
            <w:vAlign w:val="center"/>
          </w:tcPr>
          <w:p>
            <w:pPr>
              <w:jc w:val="center"/>
              <w:rPr>
                <w:rFonts w:ascii="Times New Roman" w:hAnsi="Times New Roman" w:cs="Times New Roman"/>
                <w:color w:val="000000"/>
                <w:szCs w:val="21"/>
              </w:rPr>
            </w:pPr>
          </w:p>
        </w:tc>
        <w:tc>
          <w:tcPr>
            <w:tcW w:w="2352" w:type="dxa"/>
            <w:vMerge w:val="continue"/>
            <w:vAlign w:val="center"/>
          </w:tcPr>
          <w:p>
            <w:pPr>
              <w:jc w:val="center"/>
              <w:rPr>
                <w:rFonts w:ascii="Times New Roman" w:hAnsi="Times New Roman" w:cs="Times New Roman"/>
                <w:color w:val="000000"/>
                <w:szCs w:val="21"/>
              </w:rPr>
            </w:pPr>
          </w:p>
        </w:tc>
        <w:tc>
          <w:tcPr>
            <w:tcW w:w="2075" w:type="dxa"/>
            <w:vMerge w:val="continue"/>
            <w:vAlign w:val="center"/>
          </w:tcPr>
          <w:p>
            <w:pPr>
              <w:jc w:val="center"/>
              <w:rPr>
                <w:rFonts w:ascii="Times New Roman" w:hAnsi="Times New Roman" w:cs="Times New Roman"/>
                <w:color w:val="000000"/>
                <w:szCs w:val="21"/>
              </w:rPr>
            </w:pPr>
          </w:p>
        </w:tc>
        <w:tc>
          <w:tcPr>
            <w:tcW w:w="725"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773"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挥发性有机化合物(VOC)</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游离甲醛</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GB 18582</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苯、甲苯、乙苯和二甲苯总和</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964" w:type="dxa"/>
            <w:gridSpan w:val="2"/>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氨</w:t>
            </w:r>
          </w:p>
        </w:tc>
        <w:tc>
          <w:tcPr>
            <w:tcW w:w="235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widowControl/>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可溶性重金属</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 1066-2008</w:t>
            </w:r>
          </w:p>
        </w:tc>
        <w:tc>
          <w:tcPr>
            <w:tcW w:w="72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3" w:type="dxa"/>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cs="Times New Roman"/>
                <w:color w:val="000000"/>
                <w:szCs w:val="21"/>
              </w:rPr>
              <w:t>6</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凝结时间</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抗渗压力</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9</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柔韧性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10</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抗压强度</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抗折强度</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粘结强度</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14</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耐碱性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耐热性</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16</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收缩率</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9"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17</w:t>
            </w:r>
          </w:p>
        </w:tc>
        <w:tc>
          <w:tcPr>
            <w:tcW w:w="1958"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吸水率</w:t>
            </w:r>
          </w:p>
        </w:tc>
        <w:tc>
          <w:tcPr>
            <w:tcW w:w="2358" w:type="dxa"/>
            <w:gridSpan w:val="2"/>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207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JC/T 984-2011</w:t>
            </w:r>
          </w:p>
        </w:tc>
        <w:tc>
          <w:tcPr>
            <w:tcW w:w="725" w:type="dxa"/>
            <w:vAlign w:val="center"/>
          </w:tcPr>
          <w:p>
            <w:pPr>
              <w:jc w:val="center"/>
              <w:rPr>
                <w:rFonts w:ascii="Times New Roman" w:hAnsi="Times New Roman" w:cs="Times New Roman"/>
                <w:color w:val="000000"/>
                <w:szCs w:val="21"/>
              </w:rPr>
            </w:pPr>
          </w:p>
        </w:tc>
        <w:tc>
          <w:tcPr>
            <w:tcW w:w="773"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58" w:type="dxa"/>
            <w:gridSpan w:val="7"/>
            <w:vAlign w:val="center"/>
          </w:tcPr>
          <w:p>
            <w:pPr>
              <w:jc w:val="lef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widowControl/>
              <w:rPr>
                <w:rFonts w:ascii="Times New Roman" w:hAnsi="Times New Roman" w:cs="Times New Roman"/>
                <w:color w:val="000000"/>
                <w:szCs w:val="21"/>
              </w:rPr>
            </w:pPr>
            <w:r>
              <w:rPr>
                <w:rFonts w:ascii="Times New Roman" w:hAnsi="Times New Roman" w:cs="Times New Roman"/>
                <w:color w:val="000000"/>
                <w:sz w:val="18"/>
                <w:szCs w:val="18"/>
              </w:rPr>
              <w:t>b重要质量项目。</w:t>
            </w:r>
          </w:p>
        </w:tc>
      </w:tr>
    </w:tbl>
    <w:p>
      <w:pPr>
        <w:adjustRightInd w:val="0"/>
        <w:snapToGrid w:val="0"/>
        <w:spacing w:line="360" w:lineRule="auto"/>
        <w:ind w:firstLine="359" w:firstLineChars="171"/>
        <w:rPr>
          <w:rFonts w:ascii="Times New Roman" w:hAnsi="Times New Roman" w:cs="Times New Roman"/>
          <w:color w:val="000000"/>
          <w:szCs w:val="21"/>
        </w:rPr>
      </w:pPr>
    </w:p>
    <w:p>
      <w:pPr>
        <w:adjustRightInd w:val="0"/>
        <w:snapToGrid w:val="0"/>
        <w:spacing w:line="360" w:lineRule="auto"/>
        <w:ind w:firstLine="359" w:firstLineChars="171"/>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3.1依据标准</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JC 1066-2008《建筑防水涂料中有害物质限量》</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GB/T 19250-2013《聚氨酯防水涂料》</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GB/T 23445-2009《聚合物水泥防水涂料》</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JC/T 408-2005《水乳型沥青防水涂料》</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JC/T 864-2008《聚合物乳液建筑防水涂料》</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JC/T 984-2011《聚合物水泥防水砂浆》</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JC/T 2090-2011《聚合物水泥防水浆料》</w:t>
      </w:r>
    </w:p>
    <w:p>
      <w:pPr>
        <w:adjustRightInd w:val="0"/>
        <w:snapToGrid w:val="0"/>
        <w:spacing w:line="360" w:lineRule="auto"/>
        <w:ind w:firstLine="464" w:firstLineChars="221"/>
        <w:rPr>
          <w:rFonts w:ascii="Times New Roman" w:hAnsi="Times New Roman" w:eastAsia="宋体" w:cs="Times New Roman"/>
          <w:color w:val="000000"/>
          <w:szCs w:val="21"/>
        </w:rPr>
      </w:pPr>
      <w:r>
        <w:rPr>
          <w:rFonts w:ascii="Times New Roman" w:hAnsi="Times New Roman" w:eastAsia="宋体"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3.2判定原则</w:t>
      </w:r>
    </w:p>
    <w:p>
      <w:pPr>
        <w:adjustRightInd w:val="0"/>
        <w:snapToGrid w:val="0"/>
        <w:spacing w:line="360" w:lineRule="auto"/>
        <w:ind w:firstLine="420" w:firstLineChars="200"/>
        <w:rPr>
          <w:rFonts w:ascii="Times New Roman" w:hAnsi="Times New Roman" w:eastAsia="宋体" w:cs="Times New Roman"/>
          <w:color w:val="000000"/>
          <w:szCs w:val="21"/>
        </w:rPr>
      </w:pPr>
      <w:r>
        <w:rPr>
          <w:rFonts w:ascii="Times New Roman" w:hAnsi="Times New Roman" w:cs="Times New Roman"/>
          <w:color w:val="000000"/>
          <w:szCs w:val="21"/>
        </w:rPr>
        <w:t>经检验，所检验项目全部符合标准要求，判定为被抽查产品未发现不合格</w:t>
      </w:r>
      <w:r>
        <w:rPr>
          <w:rFonts w:ascii="Times New Roman" w:hAnsi="Times New Roman" w:eastAsia="宋体" w:cs="Times New Roman"/>
          <w:color w:val="000000"/>
          <w:szCs w:val="21"/>
        </w:rPr>
        <w:t>；检验项目中任一项或一项以上不合格，判定为被抽查产品不合格。</w:t>
      </w:r>
    </w:p>
    <w:p>
      <w:pPr>
        <w:adjustRightInd w:val="0"/>
        <w:snapToGrid w:val="0"/>
        <w:spacing w:line="360" w:lineRule="auto"/>
        <w:ind w:firstLine="417" w:firstLineChars="199"/>
        <w:rPr>
          <w:rFonts w:ascii="Times New Roman" w:hAnsi="Times New Roman" w:eastAsia="宋体" w:cs="Times New Roman"/>
          <w:color w:val="000000"/>
          <w:szCs w:val="21"/>
        </w:rPr>
      </w:pPr>
      <w:r>
        <w:rPr>
          <w:rFonts w:ascii="Times New Roman" w:hAnsi="Times New Roman" w:eastAsia="宋体"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eastAsia="宋体" w:cs="Times New Roman"/>
          <w:color w:val="000000"/>
          <w:szCs w:val="21"/>
        </w:rPr>
      </w:pPr>
      <w:r>
        <w:rPr>
          <w:rFonts w:ascii="Times New Roman" w:hAnsi="Times New Roman" w:eastAsia="宋体"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eastAsia="宋体" w:cs="Times New Roman"/>
          <w:color w:val="000000"/>
          <w:szCs w:val="21"/>
        </w:rPr>
      </w:pPr>
      <w:r>
        <w:rPr>
          <w:rFonts w:ascii="Times New Roman" w:hAnsi="Times New Roman" w:eastAsia="宋体"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eastAsia="宋体" w:cs="Times New Roman"/>
          <w:color w:val="000000"/>
          <w:szCs w:val="21"/>
        </w:rPr>
      </w:pPr>
      <w:r>
        <w:rPr>
          <w:rFonts w:ascii="Times New Roman" w:hAnsi="Times New Roman" w:eastAsia="宋体"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17" w:firstLineChars="199"/>
        <w:rPr>
          <w:rFonts w:ascii="Times New Roman" w:hAnsi="Times New Roman" w:eastAsia="宋体" w:cs="Times New Roman"/>
          <w:color w:val="FF0000"/>
          <w:szCs w:val="21"/>
        </w:rPr>
      </w:pPr>
      <w:r>
        <w:rPr>
          <w:rFonts w:ascii="Times New Roman" w:hAnsi="Times New Roman" w:eastAsia="宋体" w:cs="Times New Roman"/>
          <w:color w:val="000000"/>
          <w:szCs w:val="21"/>
        </w:rPr>
        <w:t>若被检产品明示的质量要求缺少本细则中检验项目依据的推荐性标准要求时，该项目不参与判定，但应在检验报告备注中进行说明。</w:t>
      </w:r>
    </w:p>
    <w:p>
      <w:pPr>
        <w:ind w:firstLine="420"/>
        <w:rPr>
          <w:rFonts w:ascii="Times New Roman" w:hAnsi="Times New Roman" w:cs="Times New Roman"/>
          <w:szCs w:val="21"/>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0560C"/>
    <w:rsid w:val="00056789"/>
    <w:rsid w:val="00174142"/>
    <w:rsid w:val="001B3132"/>
    <w:rsid w:val="001E2068"/>
    <w:rsid w:val="002B0D9F"/>
    <w:rsid w:val="002D3179"/>
    <w:rsid w:val="00416640"/>
    <w:rsid w:val="004B5A37"/>
    <w:rsid w:val="004F0D68"/>
    <w:rsid w:val="005A3876"/>
    <w:rsid w:val="00617FA1"/>
    <w:rsid w:val="006C3D51"/>
    <w:rsid w:val="00722AB7"/>
    <w:rsid w:val="0075058E"/>
    <w:rsid w:val="007811D0"/>
    <w:rsid w:val="00914F2B"/>
    <w:rsid w:val="00A911B4"/>
    <w:rsid w:val="00A956AD"/>
    <w:rsid w:val="00AA0FE1"/>
    <w:rsid w:val="00AF0945"/>
    <w:rsid w:val="00BB52FF"/>
    <w:rsid w:val="00C6678F"/>
    <w:rsid w:val="00CE121F"/>
    <w:rsid w:val="00D17723"/>
    <w:rsid w:val="00DE4ADC"/>
    <w:rsid w:val="00F85D33"/>
    <w:rsid w:val="081C256C"/>
    <w:rsid w:val="088731D6"/>
    <w:rsid w:val="0B5659A0"/>
    <w:rsid w:val="0BD55B0F"/>
    <w:rsid w:val="18C43610"/>
    <w:rsid w:val="1B353A72"/>
    <w:rsid w:val="1B3C4DD5"/>
    <w:rsid w:val="1BA07C9F"/>
    <w:rsid w:val="1EE0560C"/>
    <w:rsid w:val="1FDC3455"/>
    <w:rsid w:val="201C1721"/>
    <w:rsid w:val="20BD1DE8"/>
    <w:rsid w:val="27EA0458"/>
    <w:rsid w:val="29D63DD3"/>
    <w:rsid w:val="2C66491E"/>
    <w:rsid w:val="2F5762A4"/>
    <w:rsid w:val="3009323F"/>
    <w:rsid w:val="34EB5788"/>
    <w:rsid w:val="37E0217D"/>
    <w:rsid w:val="39486094"/>
    <w:rsid w:val="3A0345B0"/>
    <w:rsid w:val="3E1C793A"/>
    <w:rsid w:val="421B5676"/>
    <w:rsid w:val="44431C38"/>
    <w:rsid w:val="455953CD"/>
    <w:rsid w:val="48F74508"/>
    <w:rsid w:val="49DC0ED4"/>
    <w:rsid w:val="4A0539A7"/>
    <w:rsid w:val="4C494513"/>
    <w:rsid w:val="4E4C10CD"/>
    <w:rsid w:val="504611C4"/>
    <w:rsid w:val="520B3C75"/>
    <w:rsid w:val="52C577A7"/>
    <w:rsid w:val="570445DC"/>
    <w:rsid w:val="58407D42"/>
    <w:rsid w:val="5B132654"/>
    <w:rsid w:val="65A634CE"/>
    <w:rsid w:val="662432C9"/>
    <w:rsid w:val="71407FEC"/>
    <w:rsid w:val="75C12EC5"/>
    <w:rsid w:val="76110CB7"/>
    <w:rsid w:val="7767359A"/>
    <w:rsid w:val="7BEB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1019</Words>
  <Characters>5811</Characters>
  <Lines>48</Lines>
  <Paragraphs>13</Paragraphs>
  <TotalTime>0</TotalTime>
  <ScaleCrop>false</ScaleCrop>
  <LinksUpToDate>false</LinksUpToDate>
  <CharactersWithSpaces>6817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2021-04-29T02:30:00Z</dcterms:created>
  <dc:creator>JS</dc:creator>
  <cp:lastModifiedBy>YWB</cp:lastModifiedBy>
  <dcterms:modified xsi:type="dcterms:W3CDTF">2021-05-21T07:56:06Z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