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869" w:rsidRDefault="009F6869" w:rsidP="009F6869">
      <w:pPr>
        <w:adjustRightInd w:val="0"/>
        <w:snapToGrid w:val="0"/>
        <w:spacing w:line="640" w:lineRule="exact"/>
        <w:jc w:val="center"/>
        <w:rPr>
          <w:rFonts w:eastAsia="方正小标宋简体" w:cs="方正小标宋简体"/>
          <w:kern w:val="0"/>
          <w:sz w:val="44"/>
          <w:szCs w:val="44"/>
        </w:rPr>
      </w:pPr>
      <w:r>
        <w:rPr>
          <w:rFonts w:eastAsia="方正小标宋简体" w:cs="方正小标宋简体" w:hint="eastAsia"/>
          <w:kern w:val="0"/>
          <w:sz w:val="44"/>
          <w:szCs w:val="44"/>
        </w:rPr>
        <w:t>广州市市场监督管理局儿童电话手表产品质量监督抽查实施细则</w:t>
      </w:r>
    </w:p>
    <w:p w:rsidR="009F6869" w:rsidRDefault="009F6869" w:rsidP="009F6869">
      <w:pPr>
        <w:adjustRightInd w:val="0"/>
        <w:snapToGrid w:val="0"/>
        <w:spacing w:line="520" w:lineRule="exact"/>
        <w:jc w:val="center"/>
        <w:rPr>
          <w:rFonts w:eastAsia="方正小标宋简体"/>
          <w:bCs/>
          <w:sz w:val="36"/>
          <w:szCs w:val="44"/>
        </w:rPr>
      </w:pPr>
    </w:p>
    <w:p w:rsidR="009F6869" w:rsidRDefault="009F6869" w:rsidP="009F6869">
      <w:pPr>
        <w:spacing w:line="590" w:lineRule="exact"/>
        <w:ind w:firstLineChars="200" w:firstLine="640"/>
        <w:rPr>
          <w:rFonts w:cs="仿宋_GB2312"/>
          <w:szCs w:val="32"/>
        </w:rPr>
      </w:pPr>
      <w:r>
        <w:rPr>
          <w:rFonts w:cs="仿宋_GB2312" w:hint="eastAsia"/>
          <w:szCs w:val="32"/>
        </w:rPr>
        <w:t>本细则由广州市市场监督管理局制定，适用于广州市市场监督管理局组织的生产和流通领域儿童电话手表产品质量监督抽查抽样、检验等工作。</w:t>
      </w:r>
    </w:p>
    <w:p w:rsidR="009F6869" w:rsidRDefault="009F6869" w:rsidP="009F6869">
      <w:pPr>
        <w:spacing w:line="590" w:lineRule="exact"/>
        <w:ind w:firstLineChars="200" w:firstLine="640"/>
        <w:rPr>
          <w:rFonts w:eastAsia="黑体" w:cs="黑体"/>
        </w:rPr>
      </w:pPr>
      <w:r>
        <w:rPr>
          <w:rFonts w:eastAsia="黑体" w:cs="黑体" w:hint="eastAsia"/>
        </w:rPr>
        <w:t>一、监督抽查的产品</w:t>
      </w:r>
    </w:p>
    <w:p w:rsidR="009F6869" w:rsidRDefault="009F6869" w:rsidP="009F6869">
      <w:pPr>
        <w:spacing w:line="600" w:lineRule="exact"/>
        <w:ind w:firstLineChars="200" w:firstLine="640"/>
        <w:rPr>
          <w:rFonts w:eastAsia="楷体_GB2312" w:cs="楷体_GB2312"/>
        </w:rPr>
      </w:pPr>
      <w:r>
        <w:rPr>
          <w:rFonts w:eastAsia="楷体_GB2312" w:cs="楷体_GB2312" w:hint="eastAsia"/>
        </w:rPr>
        <w:t>（一）抽查产品：</w:t>
      </w:r>
    </w:p>
    <w:p w:rsidR="009F6869" w:rsidRDefault="003B1175" w:rsidP="009F6869">
      <w:pPr>
        <w:spacing w:line="600" w:lineRule="exact"/>
        <w:ind w:firstLineChars="200" w:firstLine="640"/>
        <w:rPr>
          <w:rFonts w:ascii="仿宋_GB2312" w:hAnsi="仿宋_GB2312" w:cs="仿宋_GB2312"/>
          <w:szCs w:val="32"/>
        </w:rPr>
      </w:pPr>
      <w:r>
        <w:rPr>
          <w:rFonts w:ascii="仿宋_GB2312" w:hAnsi="仿宋_GB2312" w:cs="仿宋_GB2312" w:hint="eastAsia"/>
          <w:szCs w:val="32"/>
        </w:rPr>
        <w:t>儿童电话手表</w:t>
      </w:r>
    </w:p>
    <w:p w:rsidR="009F6869" w:rsidRDefault="009F6869" w:rsidP="009F6869">
      <w:pPr>
        <w:spacing w:line="590" w:lineRule="exact"/>
        <w:ind w:firstLineChars="200" w:firstLine="640"/>
        <w:rPr>
          <w:rFonts w:eastAsia="楷体_GB2312" w:cs="楷体_GB2312"/>
        </w:rPr>
      </w:pPr>
      <w:r>
        <w:rPr>
          <w:rFonts w:eastAsia="楷体_GB2312" w:cs="楷体_GB2312" w:hint="eastAsia"/>
        </w:rPr>
        <w:t>（二）监督总体：</w:t>
      </w:r>
    </w:p>
    <w:p w:rsidR="009F6869" w:rsidRDefault="009F6869" w:rsidP="009F6869">
      <w:pPr>
        <w:adjustRightInd w:val="0"/>
        <w:snapToGrid w:val="0"/>
        <w:spacing w:line="590" w:lineRule="exact"/>
        <w:ind w:firstLineChars="200" w:firstLine="640"/>
        <w:rPr>
          <w:rFonts w:cs="仿宋_GB2312"/>
          <w:szCs w:val="32"/>
        </w:rPr>
      </w:pPr>
      <w:r>
        <w:rPr>
          <w:rFonts w:cs="仿宋_GB2312" w:hint="eastAsia"/>
          <w:szCs w:val="32"/>
        </w:rPr>
        <w:t>广州市</w:t>
      </w:r>
      <w:r w:rsidR="00CA1A03">
        <w:rPr>
          <w:rFonts w:cs="仿宋_GB2312" w:hint="eastAsia"/>
          <w:szCs w:val="32"/>
        </w:rPr>
        <w:t>生产</w:t>
      </w:r>
      <w:r w:rsidR="003B1175">
        <w:rPr>
          <w:rFonts w:cs="仿宋_GB2312" w:hint="eastAsia"/>
          <w:szCs w:val="32"/>
        </w:rPr>
        <w:t>及</w:t>
      </w:r>
      <w:r>
        <w:rPr>
          <w:rFonts w:cs="仿宋_GB2312" w:hint="eastAsia"/>
          <w:szCs w:val="32"/>
        </w:rPr>
        <w:t>流通领域</w:t>
      </w:r>
      <w:r w:rsidR="003B1175">
        <w:rPr>
          <w:rFonts w:cs="仿宋_GB2312" w:hint="eastAsia"/>
          <w:szCs w:val="32"/>
        </w:rPr>
        <w:t>与</w:t>
      </w:r>
      <w:r>
        <w:rPr>
          <w:rFonts w:cs="仿宋_GB2312" w:hint="eastAsia"/>
          <w:szCs w:val="32"/>
        </w:rPr>
        <w:t>抽取</w:t>
      </w:r>
      <w:r w:rsidR="003B1175">
        <w:rPr>
          <w:rFonts w:cs="仿宋_GB2312" w:hint="eastAsia"/>
          <w:szCs w:val="32"/>
        </w:rPr>
        <w:t>的样品</w:t>
      </w:r>
      <w:r>
        <w:rPr>
          <w:rFonts w:cs="仿宋_GB2312" w:hint="eastAsia"/>
          <w:szCs w:val="32"/>
        </w:rPr>
        <w:t>同一标称生产者或商标、同一标准、同一型号规格（货号）的产品。</w:t>
      </w:r>
    </w:p>
    <w:p w:rsidR="009F6869" w:rsidRDefault="009F6869" w:rsidP="009F6869">
      <w:pPr>
        <w:spacing w:line="590" w:lineRule="exact"/>
        <w:ind w:firstLineChars="200" w:firstLine="640"/>
        <w:rPr>
          <w:rFonts w:eastAsia="黑体" w:cs="黑体"/>
        </w:rPr>
      </w:pPr>
      <w:r>
        <w:rPr>
          <w:rFonts w:eastAsia="黑体" w:cs="黑体" w:hint="eastAsia"/>
        </w:rPr>
        <w:t>二、抽样、检验程序</w:t>
      </w:r>
    </w:p>
    <w:p w:rsidR="009F6869" w:rsidRDefault="009F6869" w:rsidP="009F6869">
      <w:pPr>
        <w:spacing w:line="590" w:lineRule="exact"/>
        <w:ind w:firstLineChars="200" w:firstLine="640"/>
      </w:pPr>
      <w:r>
        <w:rPr>
          <w:rFonts w:eastAsia="楷体_GB2312" w:cs="楷体_GB2312" w:hint="eastAsia"/>
        </w:rPr>
        <w:t>（一）</w:t>
      </w:r>
      <w:r>
        <w:rPr>
          <w:rFonts w:hint="eastAsia"/>
        </w:rPr>
        <w:t>《产品质量监督抽查管理暂行办法》（国家市场监督管理总局令第</w:t>
      </w:r>
      <w:r>
        <w:rPr>
          <w:rFonts w:hint="eastAsia"/>
        </w:rPr>
        <w:t>18</w:t>
      </w:r>
      <w:r>
        <w:rPr>
          <w:rFonts w:hint="eastAsia"/>
        </w:rPr>
        <w:t>号）</w:t>
      </w:r>
    </w:p>
    <w:p w:rsidR="009F6869" w:rsidRDefault="009F6869" w:rsidP="009F6869">
      <w:pPr>
        <w:spacing w:line="590" w:lineRule="exact"/>
        <w:ind w:firstLineChars="200" w:firstLine="640"/>
      </w:pPr>
      <w:r>
        <w:rPr>
          <w:rFonts w:hint="eastAsia"/>
        </w:rPr>
        <w:t>（二）</w:t>
      </w:r>
      <w:r>
        <w:rPr>
          <w:rFonts w:hint="eastAsia"/>
        </w:rPr>
        <w:t>T/GDAQI 020-2020</w:t>
      </w:r>
      <w:r>
        <w:rPr>
          <w:rFonts w:hint="eastAsia"/>
        </w:rPr>
        <w:t>《产品质量监督抽查抽样检验技术服务规范》</w:t>
      </w:r>
    </w:p>
    <w:p w:rsidR="009F6869" w:rsidRDefault="009F6869" w:rsidP="009F6869">
      <w:pPr>
        <w:spacing w:line="590" w:lineRule="exact"/>
        <w:ind w:firstLineChars="200" w:firstLine="640"/>
      </w:pPr>
      <w:r>
        <w:rPr>
          <w:rFonts w:hint="eastAsia"/>
        </w:rPr>
        <w:t>（三）承检机构在抽样检验程序中根据实际情况及检验程序的法定性与有效性予以补充。</w:t>
      </w:r>
    </w:p>
    <w:p w:rsidR="009F6869" w:rsidRDefault="009F6869" w:rsidP="009F6869">
      <w:pPr>
        <w:spacing w:line="590" w:lineRule="exact"/>
        <w:ind w:firstLineChars="200" w:firstLine="640"/>
        <w:rPr>
          <w:rFonts w:eastAsia="黑体" w:cs="黑体"/>
        </w:rPr>
      </w:pPr>
      <w:r>
        <w:rPr>
          <w:rFonts w:eastAsia="黑体" w:cs="黑体" w:hint="eastAsia"/>
        </w:rPr>
        <w:t>三、抽样方案</w:t>
      </w:r>
    </w:p>
    <w:p w:rsidR="00CA1A03" w:rsidRPr="0026015C" w:rsidRDefault="00CA1A03" w:rsidP="00CA1A03">
      <w:pPr>
        <w:spacing w:line="590" w:lineRule="exact"/>
        <w:ind w:firstLineChars="200" w:firstLine="640"/>
      </w:pPr>
      <w:r w:rsidRPr="0026015C">
        <w:rPr>
          <w:rFonts w:hint="eastAsia"/>
        </w:rPr>
        <w:t>（一）抽查数量：每款产品抽取</w:t>
      </w:r>
      <w:r w:rsidRPr="0026015C">
        <w:rPr>
          <w:rFonts w:hint="eastAsia"/>
        </w:rPr>
        <w:t>2</w:t>
      </w:r>
      <w:r w:rsidRPr="0026015C">
        <w:rPr>
          <w:rFonts w:hint="eastAsia"/>
        </w:rPr>
        <w:t>组样本，第</w:t>
      </w:r>
      <w:r w:rsidRPr="0026015C">
        <w:rPr>
          <w:rFonts w:hint="eastAsia"/>
        </w:rPr>
        <w:t>1</w:t>
      </w:r>
      <w:r w:rsidRPr="0026015C">
        <w:rPr>
          <w:rFonts w:hint="eastAsia"/>
        </w:rPr>
        <w:t>组用于检验，第</w:t>
      </w:r>
      <w:r w:rsidRPr="0026015C">
        <w:rPr>
          <w:rFonts w:hint="eastAsia"/>
        </w:rPr>
        <w:t>2</w:t>
      </w:r>
      <w:r w:rsidRPr="0026015C">
        <w:rPr>
          <w:rFonts w:hint="eastAsia"/>
        </w:rPr>
        <w:t>组用于备样。每组样本需抽取样品数量如下表所示：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268"/>
        <w:gridCol w:w="2551"/>
        <w:gridCol w:w="2410"/>
      </w:tblGrid>
      <w:tr w:rsidR="00CA1A03" w:rsidTr="0060309F">
        <w:trPr>
          <w:cantSplit/>
          <w:jc w:val="center"/>
        </w:trPr>
        <w:tc>
          <w:tcPr>
            <w:tcW w:w="993" w:type="dxa"/>
            <w:vAlign w:val="center"/>
          </w:tcPr>
          <w:p w:rsidR="00CA1A03" w:rsidRDefault="00CA1A03" w:rsidP="00992CDC">
            <w:pPr>
              <w:adjustRightInd w:val="0"/>
              <w:snapToGrid w:val="0"/>
              <w:spacing w:beforeLines="50" w:afterLines="50"/>
              <w:jc w:val="center"/>
              <w:rPr>
                <w:rFonts w:cs="宋体"/>
                <w:sz w:val="24"/>
              </w:rPr>
            </w:pPr>
            <w:r>
              <w:rPr>
                <w:rFonts w:cs="宋体"/>
                <w:sz w:val="24"/>
              </w:rPr>
              <w:lastRenderedPageBreak/>
              <w:t>序号</w:t>
            </w:r>
          </w:p>
        </w:tc>
        <w:tc>
          <w:tcPr>
            <w:tcW w:w="2268" w:type="dxa"/>
            <w:vAlign w:val="center"/>
          </w:tcPr>
          <w:p w:rsidR="00CA1A03" w:rsidRDefault="00CA1A03" w:rsidP="00992CDC">
            <w:pPr>
              <w:adjustRightInd w:val="0"/>
              <w:snapToGrid w:val="0"/>
              <w:spacing w:beforeLines="50" w:afterLines="50"/>
              <w:jc w:val="center"/>
              <w:rPr>
                <w:rFonts w:cs="宋体"/>
                <w:sz w:val="24"/>
              </w:rPr>
            </w:pPr>
            <w:r>
              <w:rPr>
                <w:rFonts w:cs="宋体" w:hint="eastAsia"/>
                <w:sz w:val="24"/>
              </w:rPr>
              <w:t>产品名称</w:t>
            </w:r>
          </w:p>
        </w:tc>
        <w:tc>
          <w:tcPr>
            <w:tcW w:w="2551" w:type="dxa"/>
            <w:vAlign w:val="center"/>
          </w:tcPr>
          <w:p w:rsidR="00CA1A03" w:rsidRDefault="00CA1A03" w:rsidP="00992CDC">
            <w:pPr>
              <w:adjustRightInd w:val="0"/>
              <w:snapToGrid w:val="0"/>
              <w:spacing w:beforeLines="50" w:afterLines="50"/>
              <w:jc w:val="center"/>
              <w:rPr>
                <w:rFonts w:cs="宋体"/>
                <w:sz w:val="24"/>
              </w:rPr>
            </w:pPr>
            <w:r>
              <w:rPr>
                <w:rFonts w:cs="宋体"/>
                <w:sz w:val="24"/>
              </w:rPr>
              <w:t>第</w:t>
            </w:r>
            <w:r>
              <w:rPr>
                <w:rFonts w:cs="宋体" w:hint="eastAsia"/>
                <w:sz w:val="24"/>
              </w:rPr>
              <w:t>1</w:t>
            </w:r>
            <w:r>
              <w:rPr>
                <w:rFonts w:cs="宋体" w:hint="eastAsia"/>
                <w:sz w:val="24"/>
              </w:rPr>
              <w:t>组数量</w:t>
            </w:r>
          </w:p>
        </w:tc>
        <w:tc>
          <w:tcPr>
            <w:tcW w:w="2410" w:type="dxa"/>
          </w:tcPr>
          <w:p w:rsidR="00CA1A03" w:rsidRDefault="00CA1A03" w:rsidP="00992CDC">
            <w:pPr>
              <w:adjustRightInd w:val="0"/>
              <w:snapToGrid w:val="0"/>
              <w:spacing w:beforeLines="50" w:afterLines="50"/>
              <w:jc w:val="center"/>
              <w:rPr>
                <w:rFonts w:cs="宋体"/>
                <w:sz w:val="24"/>
              </w:rPr>
            </w:pPr>
            <w:r>
              <w:rPr>
                <w:rFonts w:cs="宋体"/>
                <w:sz w:val="24"/>
              </w:rPr>
              <w:t>第</w:t>
            </w:r>
            <w:r>
              <w:rPr>
                <w:rFonts w:cs="宋体" w:hint="eastAsia"/>
                <w:sz w:val="24"/>
              </w:rPr>
              <w:t>2</w:t>
            </w:r>
            <w:r>
              <w:rPr>
                <w:rFonts w:cs="宋体" w:hint="eastAsia"/>
                <w:sz w:val="24"/>
              </w:rPr>
              <w:t>组数量</w:t>
            </w:r>
          </w:p>
        </w:tc>
      </w:tr>
      <w:tr w:rsidR="00CA1A03" w:rsidTr="0060309F">
        <w:trPr>
          <w:cantSplit/>
          <w:jc w:val="center"/>
        </w:trPr>
        <w:tc>
          <w:tcPr>
            <w:tcW w:w="993" w:type="dxa"/>
            <w:vAlign w:val="center"/>
          </w:tcPr>
          <w:p w:rsidR="00CA1A03" w:rsidRDefault="00CA1A03" w:rsidP="00992CDC">
            <w:pPr>
              <w:adjustRightInd w:val="0"/>
              <w:snapToGrid w:val="0"/>
              <w:spacing w:beforeLines="50" w:afterLines="50"/>
              <w:jc w:val="center"/>
              <w:rPr>
                <w:rFonts w:cs="仿宋_GB2312"/>
                <w:color w:val="000000"/>
                <w:sz w:val="24"/>
              </w:rPr>
            </w:pPr>
            <w:r>
              <w:rPr>
                <w:rFonts w:cs="仿宋_GB2312"/>
                <w:color w:val="000000"/>
                <w:sz w:val="24"/>
              </w:rPr>
              <w:t>1</w:t>
            </w:r>
          </w:p>
        </w:tc>
        <w:tc>
          <w:tcPr>
            <w:tcW w:w="2268" w:type="dxa"/>
            <w:vAlign w:val="center"/>
          </w:tcPr>
          <w:p w:rsidR="00CA1A03" w:rsidRDefault="00CA1A03" w:rsidP="00992CDC">
            <w:pPr>
              <w:adjustRightInd w:val="0"/>
              <w:snapToGrid w:val="0"/>
              <w:spacing w:beforeLines="50" w:afterLines="50"/>
              <w:jc w:val="center"/>
              <w:rPr>
                <w:rFonts w:cs="仿宋_GB2312"/>
                <w:color w:val="000000"/>
                <w:sz w:val="24"/>
              </w:rPr>
            </w:pPr>
            <w:r>
              <w:rPr>
                <w:rFonts w:cs="仿宋_GB2312" w:hint="eastAsia"/>
                <w:color w:val="000000"/>
                <w:sz w:val="24"/>
              </w:rPr>
              <w:t>儿童电话手表</w:t>
            </w:r>
          </w:p>
        </w:tc>
        <w:tc>
          <w:tcPr>
            <w:tcW w:w="2551" w:type="dxa"/>
            <w:vAlign w:val="center"/>
          </w:tcPr>
          <w:p w:rsidR="00CA1A03" w:rsidRDefault="00CA1A03" w:rsidP="00992CDC">
            <w:pPr>
              <w:adjustRightInd w:val="0"/>
              <w:snapToGrid w:val="0"/>
              <w:spacing w:beforeLines="50" w:afterLines="50"/>
              <w:jc w:val="center"/>
              <w:rPr>
                <w:rFonts w:cs="仿宋_GB2312"/>
                <w:color w:val="000000"/>
                <w:sz w:val="24"/>
              </w:rPr>
            </w:pPr>
            <w:r>
              <w:rPr>
                <w:rFonts w:cs="仿宋_GB2312" w:hint="eastAsia"/>
                <w:color w:val="000000"/>
                <w:sz w:val="24"/>
              </w:rPr>
              <w:t>1</w:t>
            </w:r>
            <w:r>
              <w:rPr>
                <w:rFonts w:cs="仿宋_GB2312" w:hint="eastAsia"/>
                <w:color w:val="000000"/>
                <w:sz w:val="24"/>
              </w:rPr>
              <w:t>个</w:t>
            </w:r>
          </w:p>
        </w:tc>
        <w:tc>
          <w:tcPr>
            <w:tcW w:w="2410" w:type="dxa"/>
            <w:vAlign w:val="center"/>
          </w:tcPr>
          <w:p w:rsidR="00CA1A03" w:rsidRDefault="00CA1A03" w:rsidP="00992CDC">
            <w:pPr>
              <w:adjustRightInd w:val="0"/>
              <w:snapToGrid w:val="0"/>
              <w:spacing w:beforeLines="50" w:afterLines="50"/>
              <w:jc w:val="center"/>
              <w:rPr>
                <w:rFonts w:cs="仿宋_GB2312"/>
                <w:color w:val="000000"/>
                <w:sz w:val="24"/>
              </w:rPr>
            </w:pPr>
            <w:r>
              <w:rPr>
                <w:rFonts w:cs="仿宋_GB2312" w:hint="eastAsia"/>
                <w:color w:val="000000"/>
                <w:sz w:val="24"/>
              </w:rPr>
              <w:t>1</w:t>
            </w:r>
            <w:r>
              <w:rPr>
                <w:rFonts w:cs="仿宋_GB2312" w:hint="eastAsia"/>
                <w:color w:val="000000"/>
                <w:sz w:val="24"/>
              </w:rPr>
              <w:t>个</w:t>
            </w:r>
          </w:p>
        </w:tc>
      </w:tr>
    </w:tbl>
    <w:p w:rsidR="00CA1A03" w:rsidRDefault="00CA1A03" w:rsidP="00CA1A03">
      <w:pPr>
        <w:spacing w:line="590" w:lineRule="exact"/>
        <w:ind w:firstLineChars="200" w:firstLine="640"/>
        <w:rPr>
          <w:rFonts w:cs="仿宋_GB2312"/>
          <w:szCs w:val="32"/>
        </w:rPr>
      </w:pPr>
      <w:r>
        <w:rPr>
          <w:rFonts w:cs="仿宋_GB2312" w:hint="eastAsia"/>
          <w:szCs w:val="32"/>
        </w:rPr>
        <w:t>在生产或流通领域采用简单随机抽取法进行抽样，抽取标称同一商标（或标称同一生产者）、同一型号规格（货号）的产品。</w:t>
      </w:r>
    </w:p>
    <w:p w:rsidR="00CA1A03" w:rsidRDefault="00CA1A03" w:rsidP="00CA1A03">
      <w:pPr>
        <w:spacing w:line="590" w:lineRule="exact"/>
        <w:ind w:firstLineChars="200" w:firstLine="640"/>
        <w:rPr>
          <w:rFonts w:eastAsia="黑体"/>
          <w:szCs w:val="32"/>
        </w:rPr>
      </w:pPr>
      <w:r>
        <w:rPr>
          <w:rFonts w:eastAsia="楷体_GB2312" w:cs="楷体_GB2312" w:hint="eastAsia"/>
          <w:color w:val="000000"/>
          <w:szCs w:val="32"/>
        </w:rPr>
        <w:t>（二）抽样方法。</w:t>
      </w:r>
      <w:r>
        <w:rPr>
          <w:rFonts w:cs="仿宋_GB2312" w:hint="eastAsia"/>
          <w:szCs w:val="32"/>
        </w:rPr>
        <w:t>确定被抽样对象</w:t>
      </w:r>
      <w:r>
        <w:rPr>
          <w:rFonts w:cs="仿宋_GB2312" w:hint="eastAsia"/>
          <w:color w:val="000000"/>
          <w:szCs w:val="32"/>
        </w:rPr>
        <w:t>应符合</w:t>
      </w:r>
      <w:r>
        <w:rPr>
          <w:rFonts w:cs="仿宋_GB2312" w:hint="eastAsia"/>
          <w:color w:val="000000"/>
          <w:szCs w:val="32"/>
        </w:rPr>
        <w:t>T/GDAQI 020-2020</w:t>
      </w:r>
      <w:r>
        <w:rPr>
          <w:rFonts w:cs="仿宋_GB2312" w:hint="eastAsia"/>
          <w:color w:val="000000"/>
          <w:szCs w:val="32"/>
        </w:rPr>
        <w:t>《产品质量监督抽查抽样检验技术服务规范》</w:t>
      </w:r>
      <w:r>
        <w:rPr>
          <w:rFonts w:cs="仿宋_GB2312" w:hint="eastAsia"/>
          <w:color w:val="000000"/>
          <w:szCs w:val="32"/>
        </w:rPr>
        <w:t>5</w:t>
      </w:r>
      <w:r>
        <w:rPr>
          <w:rFonts w:cs="仿宋_GB2312"/>
          <w:color w:val="000000"/>
          <w:szCs w:val="32"/>
        </w:rPr>
        <w:t>.3.3.3</w:t>
      </w:r>
      <w:r>
        <w:rPr>
          <w:rFonts w:cs="仿宋_GB2312" w:hint="eastAsia"/>
          <w:color w:val="000000"/>
          <w:szCs w:val="32"/>
        </w:rPr>
        <w:t>和第</w:t>
      </w:r>
      <w:r>
        <w:rPr>
          <w:rFonts w:cs="仿宋_GB2312" w:hint="eastAsia"/>
          <w:color w:val="000000"/>
          <w:szCs w:val="32"/>
        </w:rPr>
        <w:t>6</w:t>
      </w:r>
      <w:r>
        <w:rPr>
          <w:rFonts w:cs="仿宋_GB2312" w:hint="eastAsia"/>
          <w:color w:val="000000"/>
          <w:szCs w:val="32"/>
        </w:rPr>
        <w:t>章抽样的相关要求。</w:t>
      </w:r>
    </w:p>
    <w:p w:rsidR="009F6869" w:rsidRDefault="009F6869" w:rsidP="009F6869">
      <w:pPr>
        <w:spacing w:line="590" w:lineRule="exact"/>
        <w:ind w:firstLineChars="200" w:firstLine="640"/>
        <w:rPr>
          <w:rFonts w:eastAsia="黑体" w:cs="黑体"/>
          <w:szCs w:val="32"/>
        </w:rPr>
      </w:pPr>
      <w:r>
        <w:rPr>
          <w:rFonts w:eastAsia="黑体" w:cs="黑体" w:hint="eastAsia"/>
          <w:szCs w:val="32"/>
        </w:rPr>
        <w:t>四、检验依据</w:t>
      </w:r>
    </w:p>
    <w:p w:rsidR="009F6869" w:rsidRDefault="009F6869" w:rsidP="009F6869">
      <w:pPr>
        <w:widowControl/>
        <w:autoSpaceDN w:val="0"/>
        <w:spacing w:line="590" w:lineRule="exact"/>
        <w:ind w:leftChars="200" w:left="640"/>
        <w:jc w:val="left"/>
        <w:rPr>
          <w:rFonts w:eastAsia="楷体_GB2312" w:cs="楷体_GB2312"/>
          <w:kern w:val="0"/>
          <w:szCs w:val="32"/>
        </w:rPr>
      </w:pPr>
      <w:r>
        <w:rPr>
          <w:rFonts w:eastAsia="楷体_GB2312" w:cs="楷体_GB2312" w:hint="eastAsia"/>
          <w:kern w:val="0"/>
          <w:szCs w:val="32"/>
        </w:rPr>
        <w:t>（一）检验标准</w:t>
      </w:r>
    </w:p>
    <w:p w:rsidR="00CA1A03" w:rsidRDefault="00CA1A03" w:rsidP="00CA1A03">
      <w:pPr>
        <w:widowControl/>
        <w:autoSpaceDN w:val="0"/>
        <w:spacing w:line="590" w:lineRule="exact"/>
        <w:ind w:firstLineChars="200" w:firstLine="640"/>
        <w:jc w:val="left"/>
        <w:rPr>
          <w:rFonts w:cs="仿宋_GB2312"/>
          <w:kern w:val="0"/>
          <w:szCs w:val="32"/>
        </w:rPr>
      </w:pPr>
      <w:r>
        <w:rPr>
          <w:rFonts w:cs="仿宋_GB2312" w:hint="eastAsia"/>
          <w:kern w:val="0"/>
          <w:szCs w:val="32"/>
        </w:rPr>
        <w:t>1.</w:t>
      </w:r>
      <w:r>
        <w:rPr>
          <w:rFonts w:cs="仿宋_GB2312" w:hint="eastAsia"/>
          <w:kern w:val="0"/>
          <w:szCs w:val="32"/>
        </w:rPr>
        <w:t>强制性标准</w:t>
      </w:r>
      <w:r>
        <w:rPr>
          <w:rFonts w:cs="仿宋_GB2312" w:hint="eastAsia"/>
          <w:kern w:val="0"/>
          <w:szCs w:val="32"/>
        </w:rPr>
        <w:t>:</w:t>
      </w:r>
    </w:p>
    <w:p w:rsidR="003B1175" w:rsidRDefault="003B1175" w:rsidP="003B1175">
      <w:pPr>
        <w:spacing w:line="590" w:lineRule="exact"/>
        <w:ind w:firstLineChars="200" w:firstLine="640"/>
        <w:jc w:val="left"/>
        <w:rPr>
          <w:rFonts w:cs="仿宋_GB2312"/>
          <w:szCs w:val="32"/>
        </w:rPr>
      </w:pPr>
      <w:r>
        <w:rPr>
          <w:rFonts w:cs="仿宋_GB2312" w:hint="eastAsia"/>
          <w:szCs w:val="32"/>
        </w:rPr>
        <w:t>GB 4943.1-2011</w:t>
      </w:r>
      <w:r>
        <w:rPr>
          <w:rFonts w:cs="仿宋_GB2312" w:hint="eastAsia"/>
          <w:szCs w:val="32"/>
        </w:rPr>
        <w:t>《信息技术设备</w:t>
      </w:r>
      <w:r>
        <w:rPr>
          <w:rFonts w:cs="仿宋_GB2312" w:hint="eastAsia"/>
          <w:szCs w:val="32"/>
        </w:rPr>
        <w:t xml:space="preserve"> </w:t>
      </w:r>
      <w:r>
        <w:rPr>
          <w:rFonts w:cs="仿宋_GB2312" w:hint="eastAsia"/>
          <w:szCs w:val="32"/>
        </w:rPr>
        <w:t>安全</w:t>
      </w:r>
      <w:r>
        <w:rPr>
          <w:rFonts w:cs="仿宋_GB2312" w:hint="eastAsia"/>
          <w:szCs w:val="32"/>
        </w:rPr>
        <w:t xml:space="preserve"> </w:t>
      </w:r>
      <w:r>
        <w:rPr>
          <w:rFonts w:cs="仿宋_GB2312" w:hint="eastAsia"/>
          <w:szCs w:val="32"/>
        </w:rPr>
        <w:t>第</w:t>
      </w:r>
      <w:r>
        <w:rPr>
          <w:rFonts w:cs="仿宋_GB2312" w:hint="eastAsia"/>
          <w:szCs w:val="32"/>
        </w:rPr>
        <w:t xml:space="preserve">1 </w:t>
      </w:r>
      <w:r>
        <w:rPr>
          <w:rFonts w:cs="仿宋_GB2312" w:hint="eastAsia"/>
          <w:szCs w:val="32"/>
        </w:rPr>
        <w:t>部分：通用要求》</w:t>
      </w:r>
      <w:r>
        <w:rPr>
          <w:rFonts w:cs="仿宋_GB2312" w:hint="eastAsia"/>
          <w:szCs w:val="32"/>
        </w:rPr>
        <w:t xml:space="preserve"> </w:t>
      </w:r>
    </w:p>
    <w:p w:rsidR="00CA1A03" w:rsidRDefault="00CA1A03" w:rsidP="00CA1A03">
      <w:pPr>
        <w:widowControl/>
        <w:autoSpaceDN w:val="0"/>
        <w:spacing w:line="590" w:lineRule="exact"/>
        <w:ind w:firstLineChars="200" w:firstLine="640"/>
        <w:rPr>
          <w:rFonts w:cs="仿宋_GB2312"/>
          <w:kern w:val="0"/>
          <w:szCs w:val="32"/>
        </w:rPr>
      </w:pPr>
      <w:r>
        <w:rPr>
          <w:rFonts w:cs="仿宋_GB2312" w:hint="eastAsia"/>
          <w:kern w:val="0"/>
          <w:szCs w:val="32"/>
        </w:rPr>
        <w:t>2.</w:t>
      </w:r>
      <w:r>
        <w:rPr>
          <w:rFonts w:cs="仿宋_GB2312" w:hint="eastAsia"/>
          <w:kern w:val="0"/>
          <w:szCs w:val="32"/>
        </w:rPr>
        <w:t>推荐性标准：（依据产品的制式选择其中一个标准）</w:t>
      </w:r>
    </w:p>
    <w:p w:rsidR="003B1175" w:rsidRDefault="003B1175" w:rsidP="003B1175">
      <w:pPr>
        <w:spacing w:line="590" w:lineRule="exact"/>
        <w:ind w:firstLineChars="200" w:firstLine="640"/>
        <w:jc w:val="left"/>
        <w:rPr>
          <w:szCs w:val="32"/>
        </w:rPr>
      </w:pPr>
      <w:r>
        <w:rPr>
          <w:rFonts w:cs="仿宋_GB2312" w:hint="eastAsia"/>
          <w:szCs w:val="32"/>
        </w:rPr>
        <w:t xml:space="preserve">GB/T 22450.1-2008 </w:t>
      </w:r>
      <w:r>
        <w:rPr>
          <w:rFonts w:cs="仿宋_GB2312" w:hint="eastAsia"/>
          <w:szCs w:val="32"/>
        </w:rPr>
        <w:t>《</w:t>
      </w:r>
      <w:r>
        <w:rPr>
          <w:rFonts w:cs="仿宋_GB2312" w:hint="eastAsia"/>
          <w:szCs w:val="32"/>
        </w:rPr>
        <w:t>900/1800 MHz TDMA</w:t>
      </w:r>
      <w:r>
        <w:rPr>
          <w:rFonts w:cs="仿宋_GB2312" w:hint="eastAsia"/>
          <w:szCs w:val="32"/>
        </w:rPr>
        <w:t>数字蜂窝移动通信系统电磁兼容性限值和测量方法</w:t>
      </w:r>
      <w:r>
        <w:rPr>
          <w:rFonts w:cs="仿宋_GB2312" w:hint="eastAsia"/>
          <w:szCs w:val="32"/>
        </w:rPr>
        <w:t xml:space="preserve"> </w:t>
      </w:r>
      <w:r>
        <w:rPr>
          <w:rFonts w:cs="仿宋_GB2312" w:hint="eastAsia"/>
          <w:szCs w:val="32"/>
        </w:rPr>
        <w:t>第</w:t>
      </w:r>
      <w:r>
        <w:rPr>
          <w:rFonts w:cs="仿宋_GB2312" w:hint="eastAsia"/>
          <w:szCs w:val="32"/>
        </w:rPr>
        <w:t>1</w:t>
      </w:r>
      <w:r>
        <w:rPr>
          <w:rFonts w:cs="仿宋_GB2312" w:hint="eastAsia"/>
          <w:szCs w:val="32"/>
        </w:rPr>
        <w:t>部分：</w:t>
      </w:r>
      <w:r>
        <w:rPr>
          <w:szCs w:val="32"/>
        </w:rPr>
        <w:t>移动台及其辅助设备》</w:t>
      </w:r>
    </w:p>
    <w:p w:rsidR="003B1175" w:rsidRDefault="003B1175" w:rsidP="003B1175">
      <w:pPr>
        <w:spacing w:line="590" w:lineRule="exact"/>
        <w:ind w:firstLineChars="200" w:firstLine="640"/>
        <w:jc w:val="left"/>
        <w:rPr>
          <w:szCs w:val="32"/>
        </w:rPr>
      </w:pPr>
      <w:r>
        <w:rPr>
          <w:szCs w:val="32"/>
        </w:rPr>
        <w:t xml:space="preserve">GB/T 19484.1-2013 </w:t>
      </w:r>
      <w:r>
        <w:rPr>
          <w:szCs w:val="32"/>
        </w:rPr>
        <w:t>《</w:t>
      </w:r>
      <w:r>
        <w:rPr>
          <w:szCs w:val="32"/>
        </w:rPr>
        <w:t>800MHz/2GHz cdma2000</w:t>
      </w:r>
      <w:r>
        <w:rPr>
          <w:szCs w:val="32"/>
        </w:rPr>
        <w:t>数字蜂窝移动通信系统的电磁兼容性要求和测量方法</w:t>
      </w:r>
      <w:r>
        <w:rPr>
          <w:szCs w:val="32"/>
        </w:rPr>
        <w:t xml:space="preserve"> </w:t>
      </w:r>
      <w:r>
        <w:rPr>
          <w:szCs w:val="32"/>
        </w:rPr>
        <w:t>第</w:t>
      </w:r>
      <w:r>
        <w:rPr>
          <w:szCs w:val="32"/>
        </w:rPr>
        <w:t>1</w:t>
      </w:r>
      <w:r>
        <w:rPr>
          <w:szCs w:val="32"/>
        </w:rPr>
        <w:t>部分</w:t>
      </w:r>
      <w:r>
        <w:rPr>
          <w:szCs w:val="32"/>
        </w:rPr>
        <w:t>:</w:t>
      </w:r>
      <w:r>
        <w:rPr>
          <w:szCs w:val="32"/>
        </w:rPr>
        <w:t>用户设备及其辅助设备》</w:t>
      </w:r>
    </w:p>
    <w:p w:rsidR="003B1175" w:rsidRDefault="003B1175" w:rsidP="003B1175">
      <w:pPr>
        <w:spacing w:line="590" w:lineRule="exact"/>
        <w:ind w:firstLineChars="200" w:firstLine="640"/>
        <w:jc w:val="left"/>
        <w:rPr>
          <w:szCs w:val="32"/>
        </w:rPr>
      </w:pPr>
      <w:r>
        <w:rPr>
          <w:szCs w:val="32"/>
        </w:rPr>
        <w:t xml:space="preserve">YD/T 1592.1-2012 </w:t>
      </w:r>
      <w:r>
        <w:rPr>
          <w:szCs w:val="32"/>
        </w:rPr>
        <w:t>《</w:t>
      </w:r>
      <w:r>
        <w:rPr>
          <w:szCs w:val="32"/>
        </w:rPr>
        <w:t>2GHz TD-SCDMA</w:t>
      </w:r>
      <w:r>
        <w:rPr>
          <w:szCs w:val="32"/>
        </w:rPr>
        <w:t>数字蜂窝移动通信系统电磁兼容性要求和测量方法</w:t>
      </w:r>
      <w:r>
        <w:rPr>
          <w:szCs w:val="32"/>
        </w:rPr>
        <w:t xml:space="preserve"> </w:t>
      </w:r>
      <w:r>
        <w:rPr>
          <w:szCs w:val="32"/>
        </w:rPr>
        <w:t>第</w:t>
      </w:r>
      <w:r>
        <w:rPr>
          <w:szCs w:val="32"/>
        </w:rPr>
        <w:t>1</w:t>
      </w:r>
      <w:r>
        <w:rPr>
          <w:szCs w:val="32"/>
        </w:rPr>
        <w:t>部分：用户设备及其辅助设备》</w:t>
      </w:r>
    </w:p>
    <w:p w:rsidR="003B1175" w:rsidRDefault="003B1175" w:rsidP="003B1175">
      <w:pPr>
        <w:spacing w:line="590" w:lineRule="exact"/>
        <w:ind w:firstLineChars="200" w:firstLine="640"/>
        <w:jc w:val="left"/>
        <w:rPr>
          <w:szCs w:val="32"/>
        </w:rPr>
      </w:pPr>
      <w:r>
        <w:rPr>
          <w:szCs w:val="32"/>
        </w:rPr>
        <w:lastRenderedPageBreak/>
        <w:t xml:space="preserve">YD/T 1595.1-2012 </w:t>
      </w:r>
      <w:r>
        <w:rPr>
          <w:szCs w:val="32"/>
        </w:rPr>
        <w:t>《</w:t>
      </w:r>
      <w:r>
        <w:rPr>
          <w:szCs w:val="32"/>
        </w:rPr>
        <w:t>2GHz WCDMA</w:t>
      </w:r>
      <w:r>
        <w:rPr>
          <w:szCs w:val="32"/>
        </w:rPr>
        <w:t>数字蜂窝移动通信系统的电磁兼容性要求和测量方法</w:t>
      </w:r>
      <w:r>
        <w:rPr>
          <w:szCs w:val="32"/>
        </w:rPr>
        <w:t xml:space="preserve"> </w:t>
      </w:r>
      <w:r>
        <w:rPr>
          <w:szCs w:val="32"/>
        </w:rPr>
        <w:t>第</w:t>
      </w:r>
      <w:r>
        <w:rPr>
          <w:szCs w:val="32"/>
        </w:rPr>
        <w:t>1</w:t>
      </w:r>
      <w:r>
        <w:rPr>
          <w:szCs w:val="32"/>
        </w:rPr>
        <w:t>部分：用户设备及其辅助设备》</w:t>
      </w:r>
    </w:p>
    <w:p w:rsidR="003B1175" w:rsidRDefault="003B1175" w:rsidP="003B1175">
      <w:pPr>
        <w:spacing w:line="590" w:lineRule="exact"/>
        <w:ind w:firstLineChars="200" w:firstLine="640"/>
        <w:jc w:val="left"/>
        <w:rPr>
          <w:szCs w:val="32"/>
        </w:rPr>
      </w:pPr>
      <w:r>
        <w:rPr>
          <w:szCs w:val="32"/>
        </w:rPr>
        <w:t xml:space="preserve">YD/T 2583.14-2013 </w:t>
      </w:r>
      <w:r>
        <w:rPr>
          <w:szCs w:val="32"/>
        </w:rPr>
        <w:t>《蜂窝式移动通信设备电磁兼容性能要求和测量方法</w:t>
      </w:r>
      <w:r>
        <w:rPr>
          <w:szCs w:val="32"/>
        </w:rPr>
        <w:t xml:space="preserve"> </w:t>
      </w:r>
      <w:r>
        <w:rPr>
          <w:szCs w:val="32"/>
        </w:rPr>
        <w:t>第</w:t>
      </w:r>
      <w:r>
        <w:rPr>
          <w:szCs w:val="32"/>
        </w:rPr>
        <w:t>14</w:t>
      </w:r>
      <w:r>
        <w:rPr>
          <w:szCs w:val="32"/>
        </w:rPr>
        <w:t>部分：</w:t>
      </w:r>
      <w:r>
        <w:rPr>
          <w:szCs w:val="32"/>
        </w:rPr>
        <w:t>LTE</w:t>
      </w:r>
      <w:r>
        <w:rPr>
          <w:szCs w:val="32"/>
        </w:rPr>
        <w:t>用户设备及其辅助设备》</w:t>
      </w:r>
    </w:p>
    <w:p w:rsidR="009F6869" w:rsidRDefault="009F6869" w:rsidP="009F6869">
      <w:pPr>
        <w:spacing w:line="590" w:lineRule="exact"/>
        <w:ind w:firstLineChars="200" w:firstLine="640"/>
        <w:rPr>
          <w:szCs w:val="32"/>
        </w:rPr>
      </w:pPr>
      <w:r>
        <w:rPr>
          <w:rFonts w:eastAsia="楷体_GB2312" w:cs="楷体_GB2312" w:hint="eastAsia"/>
          <w:szCs w:val="32"/>
        </w:rPr>
        <w:t>（二）涉及本类产品质量判定相关法律法规、国家有关规定。</w:t>
      </w:r>
      <w:r>
        <w:rPr>
          <w:rFonts w:hint="eastAsia"/>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w:t>
      </w:r>
      <w:proofErr w:type="gramStart"/>
      <w:r>
        <w:rPr>
          <w:rFonts w:hint="eastAsia"/>
          <w:szCs w:val="32"/>
        </w:rPr>
        <w:t>粤市监质</w:t>
      </w:r>
      <w:proofErr w:type="gramEnd"/>
      <w:r>
        <w:rPr>
          <w:rFonts w:hint="eastAsia"/>
          <w:szCs w:val="32"/>
        </w:rPr>
        <w:t>监〔</w:t>
      </w:r>
      <w:r>
        <w:rPr>
          <w:rFonts w:hint="eastAsia"/>
          <w:szCs w:val="32"/>
        </w:rPr>
        <w:t>2019</w:t>
      </w:r>
      <w:r>
        <w:rPr>
          <w:rFonts w:hint="eastAsia"/>
          <w:szCs w:val="32"/>
        </w:rPr>
        <w:t>〕</w:t>
      </w:r>
      <w:r>
        <w:rPr>
          <w:rFonts w:hint="eastAsia"/>
          <w:szCs w:val="32"/>
        </w:rPr>
        <w:t>494</w:t>
      </w:r>
      <w:r>
        <w:rPr>
          <w:rFonts w:hint="eastAsia"/>
          <w:szCs w:val="32"/>
        </w:rPr>
        <w:t>号）。</w:t>
      </w:r>
    </w:p>
    <w:p w:rsidR="009F6869" w:rsidRDefault="009F6869" w:rsidP="009F6869">
      <w:pPr>
        <w:spacing w:line="590" w:lineRule="exact"/>
        <w:ind w:firstLineChars="200" w:firstLine="640"/>
        <w:rPr>
          <w:rFonts w:eastAsia="黑体" w:cs="黑体"/>
          <w:szCs w:val="32"/>
        </w:rPr>
      </w:pPr>
    </w:p>
    <w:p w:rsidR="009F6869" w:rsidRDefault="009F6869" w:rsidP="009F6869">
      <w:pPr>
        <w:spacing w:line="590" w:lineRule="exact"/>
        <w:rPr>
          <w:rFonts w:eastAsia="黑体" w:cs="黑体"/>
          <w:bCs/>
          <w:szCs w:val="32"/>
        </w:rPr>
      </w:pPr>
      <w:r>
        <w:rPr>
          <w:rFonts w:eastAsia="黑体" w:cs="黑体" w:hint="eastAsia"/>
          <w:szCs w:val="32"/>
        </w:rPr>
        <w:t>五、主要检验项目及不合格类别的划分指标</w:t>
      </w:r>
    </w:p>
    <w:p w:rsidR="009F6869" w:rsidRDefault="009F6869" w:rsidP="009F6869">
      <w:pPr>
        <w:adjustRightInd w:val="0"/>
        <w:snapToGrid w:val="0"/>
        <w:spacing w:line="590" w:lineRule="exact"/>
        <w:rPr>
          <w:rFonts w:eastAsia="楷体_GB2312" w:cs="楷体_GB2312"/>
          <w:szCs w:val="32"/>
        </w:rPr>
      </w:pPr>
      <w:r>
        <w:rPr>
          <w:rFonts w:eastAsia="楷体_GB2312" w:cs="楷体_GB2312" w:hint="eastAsia"/>
          <w:szCs w:val="32"/>
        </w:rPr>
        <w:t xml:space="preserve"> </w:t>
      </w:r>
      <w:r>
        <w:rPr>
          <w:rFonts w:eastAsia="楷体_GB2312" w:cs="楷体_GB2312" w:hint="eastAsia"/>
          <w:szCs w:val="32"/>
        </w:rPr>
        <w:t>内在质量检验项目及其重要性划分表。</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1919"/>
        <w:gridCol w:w="2268"/>
        <w:gridCol w:w="2552"/>
        <w:gridCol w:w="709"/>
        <w:gridCol w:w="952"/>
      </w:tblGrid>
      <w:tr w:rsidR="009F6869" w:rsidTr="004D52FF">
        <w:trPr>
          <w:cantSplit/>
          <w:tblHeader/>
          <w:jc w:val="center"/>
        </w:trPr>
        <w:tc>
          <w:tcPr>
            <w:tcW w:w="713" w:type="dxa"/>
            <w:vMerge w:val="restart"/>
            <w:vAlign w:val="center"/>
          </w:tcPr>
          <w:p w:rsidR="009F6869" w:rsidRDefault="009F6869" w:rsidP="005609CB">
            <w:pPr>
              <w:jc w:val="center"/>
              <w:rPr>
                <w:rFonts w:ascii="宋体" w:eastAsia="宋体" w:hAnsi="宋体"/>
                <w:sz w:val="21"/>
                <w:szCs w:val="21"/>
              </w:rPr>
            </w:pPr>
            <w:r>
              <w:rPr>
                <w:rFonts w:ascii="宋体" w:eastAsia="宋体" w:hAnsi="宋体" w:hint="eastAsia"/>
                <w:sz w:val="21"/>
                <w:szCs w:val="21"/>
              </w:rPr>
              <w:t>序号</w:t>
            </w:r>
          </w:p>
        </w:tc>
        <w:tc>
          <w:tcPr>
            <w:tcW w:w="1919" w:type="dxa"/>
            <w:vMerge w:val="restart"/>
            <w:vAlign w:val="center"/>
          </w:tcPr>
          <w:p w:rsidR="009F6869" w:rsidRDefault="009F6869" w:rsidP="005609CB">
            <w:pPr>
              <w:jc w:val="center"/>
              <w:rPr>
                <w:rFonts w:ascii="宋体" w:eastAsia="宋体" w:hAnsi="宋体"/>
                <w:sz w:val="21"/>
                <w:szCs w:val="21"/>
              </w:rPr>
            </w:pPr>
            <w:r>
              <w:rPr>
                <w:rFonts w:ascii="宋体" w:eastAsia="宋体" w:hAnsi="宋体" w:hint="eastAsia"/>
                <w:sz w:val="21"/>
                <w:szCs w:val="21"/>
              </w:rPr>
              <w:t>检验项目</w:t>
            </w:r>
          </w:p>
        </w:tc>
        <w:tc>
          <w:tcPr>
            <w:tcW w:w="2268" w:type="dxa"/>
            <w:vMerge w:val="restart"/>
            <w:vAlign w:val="center"/>
          </w:tcPr>
          <w:p w:rsidR="009F6869" w:rsidRDefault="009F6869" w:rsidP="005609CB">
            <w:pPr>
              <w:jc w:val="center"/>
              <w:rPr>
                <w:rFonts w:ascii="宋体" w:eastAsia="宋体" w:hAnsi="宋体"/>
                <w:sz w:val="21"/>
                <w:szCs w:val="21"/>
              </w:rPr>
            </w:pPr>
            <w:r>
              <w:rPr>
                <w:rFonts w:ascii="宋体" w:eastAsia="宋体" w:hAnsi="宋体" w:hint="eastAsia"/>
                <w:sz w:val="21"/>
                <w:szCs w:val="21"/>
              </w:rPr>
              <w:t>依据标准</w:t>
            </w:r>
          </w:p>
        </w:tc>
        <w:tc>
          <w:tcPr>
            <w:tcW w:w="2552" w:type="dxa"/>
            <w:vMerge w:val="restart"/>
            <w:vAlign w:val="center"/>
          </w:tcPr>
          <w:p w:rsidR="009F6869" w:rsidRDefault="009F6869" w:rsidP="005609CB">
            <w:pPr>
              <w:jc w:val="center"/>
              <w:rPr>
                <w:rFonts w:ascii="宋体" w:eastAsia="宋体" w:hAnsi="宋体"/>
                <w:sz w:val="21"/>
                <w:szCs w:val="21"/>
              </w:rPr>
            </w:pPr>
            <w:r>
              <w:rPr>
                <w:rFonts w:ascii="宋体" w:eastAsia="宋体" w:hAnsi="宋体" w:hint="eastAsia"/>
                <w:sz w:val="21"/>
                <w:szCs w:val="21"/>
              </w:rPr>
              <w:t>检测方法</w:t>
            </w:r>
          </w:p>
        </w:tc>
        <w:tc>
          <w:tcPr>
            <w:tcW w:w="1661" w:type="dxa"/>
            <w:gridSpan w:val="2"/>
            <w:vAlign w:val="center"/>
          </w:tcPr>
          <w:p w:rsidR="009F6869" w:rsidRDefault="009F6869" w:rsidP="003B1175">
            <w:pPr>
              <w:jc w:val="center"/>
              <w:rPr>
                <w:rFonts w:ascii="宋体" w:eastAsia="宋体" w:hAnsi="宋体"/>
                <w:bCs/>
                <w:sz w:val="21"/>
                <w:szCs w:val="21"/>
              </w:rPr>
            </w:pPr>
            <w:r>
              <w:rPr>
                <w:rFonts w:ascii="宋体" w:eastAsia="宋体" w:hAnsi="宋体" w:hint="eastAsia"/>
                <w:sz w:val="21"/>
                <w:szCs w:val="21"/>
              </w:rPr>
              <w:t>重要程度或不合格程度分类</w:t>
            </w:r>
          </w:p>
        </w:tc>
      </w:tr>
      <w:tr w:rsidR="009F6869" w:rsidTr="004D52FF">
        <w:trPr>
          <w:cantSplit/>
          <w:tblHeader/>
          <w:jc w:val="center"/>
        </w:trPr>
        <w:tc>
          <w:tcPr>
            <w:tcW w:w="713" w:type="dxa"/>
            <w:vMerge/>
            <w:vAlign w:val="center"/>
          </w:tcPr>
          <w:p w:rsidR="009F6869" w:rsidRDefault="009F6869" w:rsidP="005609CB">
            <w:pPr>
              <w:pStyle w:val="a3"/>
              <w:jc w:val="center"/>
              <w:rPr>
                <w:rFonts w:hAnsi="宋体"/>
                <w:bCs/>
                <w:sz w:val="21"/>
                <w:szCs w:val="21"/>
              </w:rPr>
            </w:pPr>
          </w:p>
        </w:tc>
        <w:tc>
          <w:tcPr>
            <w:tcW w:w="1919" w:type="dxa"/>
            <w:vMerge/>
            <w:vAlign w:val="center"/>
          </w:tcPr>
          <w:p w:rsidR="009F6869" w:rsidRDefault="009F6869" w:rsidP="005609CB">
            <w:pPr>
              <w:pStyle w:val="a3"/>
              <w:jc w:val="center"/>
              <w:rPr>
                <w:rFonts w:hAnsi="宋体"/>
                <w:bCs/>
                <w:sz w:val="21"/>
                <w:szCs w:val="21"/>
              </w:rPr>
            </w:pPr>
          </w:p>
        </w:tc>
        <w:tc>
          <w:tcPr>
            <w:tcW w:w="2268" w:type="dxa"/>
            <w:vMerge/>
            <w:vAlign w:val="center"/>
          </w:tcPr>
          <w:p w:rsidR="009F6869" w:rsidRDefault="009F6869" w:rsidP="005609CB">
            <w:pPr>
              <w:pStyle w:val="a3"/>
              <w:jc w:val="center"/>
              <w:rPr>
                <w:rFonts w:hAnsi="宋体"/>
                <w:bCs/>
                <w:sz w:val="21"/>
                <w:szCs w:val="21"/>
              </w:rPr>
            </w:pPr>
          </w:p>
        </w:tc>
        <w:tc>
          <w:tcPr>
            <w:tcW w:w="2552" w:type="dxa"/>
            <w:vMerge/>
            <w:vAlign w:val="center"/>
          </w:tcPr>
          <w:p w:rsidR="009F6869" w:rsidRDefault="009F6869" w:rsidP="005609CB">
            <w:pPr>
              <w:pStyle w:val="a3"/>
              <w:jc w:val="center"/>
              <w:rPr>
                <w:rFonts w:hAnsi="宋体"/>
                <w:bCs/>
                <w:sz w:val="21"/>
                <w:szCs w:val="21"/>
              </w:rPr>
            </w:pPr>
          </w:p>
        </w:tc>
        <w:tc>
          <w:tcPr>
            <w:tcW w:w="709" w:type="dxa"/>
            <w:vAlign w:val="center"/>
          </w:tcPr>
          <w:p w:rsidR="009F6869" w:rsidRDefault="009F6869" w:rsidP="005609CB">
            <w:pPr>
              <w:pStyle w:val="a4"/>
              <w:jc w:val="center"/>
              <w:rPr>
                <w:rFonts w:ascii="宋体" w:eastAsia="宋体" w:hAnsi="宋体"/>
                <w:bCs/>
                <w:sz w:val="21"/>
                <w:szCs w:val="21"/>
              </w:rPr>
            </w:pPr>
            <w:r>
              <w:rPr>
                <w:rFonts w:ascii="宋体" w:eastAsia="宋体" w:hAnsi="宋体"/>
                <w:sz w:val="21"/>
                <w:szCs w:val="21"/>
              </w:rPr>
              <w:t>A</w:t>
            </w:r>
            <w:r>
              <w:rPr>
                <w:rFonts w:ascii="宋体" w:eastAsia="宋体" w:hAnsi="宋体" w:hint="eastAsia"/>
                <w:sz w:val="21"/>
                <w:szCs w:val="21"/>
              </w:rPr>
              <w:t>类</w:t>
            </w:r>
            <w:r>
              <w:rPr>
                <w:rFonts w:ascii="宋体" w:eastAsia="宋体" w:hAnsi="宋体"/>
                <w:bCs/>
                <w:sz w:val="21"/>
                <w:szCs w:val="21"/>
                <w:vertAlign w:val="superscript"/>
              </w:rPr>
              <w:t>a</w:t>
            </w:r>
          </w:p>
        </w:tc>
        <w:tc>
          <w:tcPr>
            <w:tcW w:w="952" w:type="dxa"/>
            <w:vAlign w:val="center"/>
          </w:tcPr>
          <w:p w:rsidR="009F6869" w:rsidRDefault="009F6869" w:rsidP="005609CB">
            <w:pPr>
              <w:pStyle w:val="a4"/>
              <w:jc w:val="center"/>
              <w:rPr>
                <w:rFonts w:ascii="宋体" w:eastAsia="宋体" w:hAnsi="宋体"/>
                <w:bCs/>
                <w:sz w:val="21"/>
                <w:szCs w:val="21"/>
              </w:rPr>
            </w:pPr>
            <w:r>
              <w:rPr>
                <w:rFonts w:ascii="宋体" w:eastAsia="宋体" w:hAnsi="宋体"/>
                <w:sz w:val="21"/>
                <w:szCs w:val="21"/>
              </w:rPr>
              <w:t>B</w:t>
            </w:r>
            <w:r>
              <w:rPr>
                <w:rFonts w:ascii="宋体" w:eastAsia="宋体" w:hAnsi="宋体" w:hint="eastAsia"/>
                <w:sz w:val="21"/>
                <w:szCs w:val="21"/>
              </w:rPr>
              <w:t>类</w:t>
            </w:r>
            <w:r>
              <w:rPr>
                <w:rFonts w:ascii="宋体" w:eastAsia="宋体" w:hAnsi="宋体"/>
                <w:bCs/>
                <w:sz w:val="21"/>
                <w:szCs w:val="21"/>
                <w:vertAlign w:val="superscript"/>
              </w:rPr>
              <w:t>b</w:t>
            </w:r>
          </w:p>
        </w:tc>
      </w:tr>
      <w:tr w:rsidR="004D52FF" w:rsidTr="00044235">
        <w:trPr>
          <w:cantSplit/>
          <w:trHeight w:val="435"/>
          <w:jc w:val="center"/>
        </w:trPr>
        <w:tc>
          <w:tcPr>
            <w:tcW w:w="713" w:type="dxa"/>
            <w:vAlign w:val="center"/>
          </w:tcPr>
          <w:p w:rsidR="004D52FF" w:rsidRPr="004D52FF" w:rsidRDefault="004D52FF" w:rsidP="005609CB">
            <w:pPr>
              <w:pStyle w:val="a3"/>
              <w:jc w:val="center"/>
              <w:rPr>
                <w:rFonts w:hAnsi="宋体"/>
                <w:kern w:val="2"/>
                <w:sz w:val="21"/>
                <w:szCs w:val="21"/>
              </w:rPr>
            </w:pPr>
            <w:r w:rsidRPr="004D52FF">
              <w:rPr>
                <w:rFonts w:hAnsi="宋体"/>
                <w:kern w:val="2"/>
                <w:sz w:val="21"/>
                <w:szCs w:val="21"/>
              </w:rPr>
              <w:t>1</w:t>
            </w:r>
          </w:p>
        </w:tc>
        <w:tc>
          <w:tcPr>
            <w:tcW w:w="1919" w:type="dxa"/>
            <w:vAlign w:val="center"/>
          </w:tcPr>
          <w:p w:rsidR="004D52FF" w:rsidRPr="004D52FF" w:rsidRDefault="004D52FF" w:rsidP="005609CB">
            <w:pPr>
              <w:snapToGrid w:val="0"/>
              <w:jc w:val="center"/>
              <w:rPr>
                <w:rFonts w:ascii="宋体" w:eastAsia="宋体" w:hAnsi="宋体"/>
                <w:sz w:val="21"/>
                <w:szCs w:val="21"/>
              </w:rPr>
            </w:pPr>
            <w:r w:rsidRPr="004D52FF">
              <w:rPr>
                <w:rFonts w:ascii="宋体" w:eastAsia="宋体" w:hAnsi="宋体" w:hint="eastAsia"/>
                <w:sz w:val="21"/>
                <w:szCs w:val="21"/>
              </w:rPr>
              <w:t>电击和能量危险的防护</w:t>
            </w:r>
          </w:p>
        </w:tc>
        <w:tc>
          <w:tcPr>
            <w:tcW w:w="2268" w:type="dxa"/>
            <w:vAlign w:val="bottom"/>
          </w:tcPr>
          <w:p w:rsidR="004D52FF" w:rsidRPr="004D52FF" w:rsidRDefault="004D52FF" w:rsidP="005609CB">
            <w:pPr>
              <w:pStyle w:val="a3"/>
              <w:jc w:val="center"/>
              <w:rPr>
                <w:rFonts w:hAnsi="宋体"/>
                <w:kern w:val="2"/>
                <w:sz w:val="21"/>
                <w:szCs w:val="21"/>
              </w:rPr>
            </w:pPr>
            <w:r w:rsidRPr="004D52FF">
              <w:rPr>
                <w:rFonts w:hAnsi="宋体" w:hint="eastAsia"/>
                <w:kern w:val="2"/>
                <w:sz w:val="21"/>
                <w:szCs w:val="21"/>
              </w:rPr>
              <w:t>GB 4943.1-2011条款2.1</w:t>
            </w:r>
          </w:p>
        </w:tc>
        <w:tc>
          <w:tcPr>
            <w:tcW w:w="2552" w:type="dxa"/>
            <w:vAlign w:val="bottom"/>
          </w:tcPr>
          <w:p w:rsidR="004D52FF" w:rsidRPr="004D52FF" w:rsidRDefault="004D52FF" w:rsidP="005609CB">
            <w:pPr>
              <w:pStyle w:val="a3"/>
              <w:jc w:val="center"/>
              <w:rPr>
                <w:rFonts w:hAnsi="宋体"/>
                <w:kern w:val="2"/>
                <w:sz w:val="21"/>
                <w:szCs w:val="21"/>
              </w:rPr>
            </w:pPr>
            <w:r w:rsidRPr="004D52FF">
              <w:rPr>
                <w:rFonts w:hAnsi="宋体" w:hint="eastAsia"/>
                <w:kern w:val="2"/>
                <w:sz w:val="21"/>
                <w:szCs w:val="21"/>
              </w:rPr>
              <w:t>GB 4943.1-2011条款2.1</w:t>
            </w:r>
          </w:p>
        </w:tc>
        <w:tc>
          <w:tcPr>
            <w:tcW w:w="709" w:type="dxa"/>
            <w:vAlign w:val="bottom"/>
          </w:tcPr>
          <w:p w:rsidR="004D52FF" w:rsidRPr="004D52FF" w:rsidRDefault="004D52FF" w:rsidP="005609CB">
            <w:pPr>
              <w:pStyle w:val="a3"/>
              <w:rPr>
                <w:rFonts w:hAnsi="宋体"/>
                <w:kern w:val="2"/>
                <w:sz w:val="21"/>
                <w:szCs w:val="21"/>
              </w:rPr>
            </w:pPr>
            <w:r w:rsidRPr="004D52FF">
              <w:rPr>
                <w:rFonts w:hAnsi="宋体" w:hint="eastAsia"/>
                <w:kern w:val="2"/>
                <w:sz w:val="21"/>
                <w:szCs w:val="21"/>
              </w:rPr>
              <w:t>●</w:t>
            </w:r>
          </w:p>
        </w:tc>
        <w:tc>
          <w:tcPr>
            <w:tcW w:w="952" w:type="dxa"/>
            <w:vAlign w:val="center"/>
          </w:tcPr>
          <w:p w:rsidR="004D52FF" w:rsidRDefault="004D52FF" w:rsidP="005609CB">
            <w:pPr>
              <w:pStyle w:val="a3"/>
              <w:jc w:val="center"/>
              <w:rPr>
                <w:rFonts w:hAnsi="宋体"/>
                <w:bCs/>
                <w:sz w:val="21"/>
                <w:szCs w:val="21"/>
              </w:rPr>
            </w:pPr>
          </w:p>
        </w:tc>
      </w:tr>
      <w:tr w:rsidR="004D52FF" w:rsidTr="00044235">
        <w:trPr>
          <w:cantSplit/>
          <w:jc w:val="center"/>
        </w:trPr>
        <w:tc>
          <w:tcPr>
            <w:tcW w:w="713" w:type="dxa"/>
            <w:vAlign w:val="center"/>
          </w:tcPr>
          <w:p w:rsidR="004D52FF" w:rsidRPr="004D52FF" w:rsidRDefault="004D52FF" w:rsidP="005609CB">
            <w:pPr>
              <w:pStyle w:val="a3"/>
              <w:jc w:val="center"/>
              <w:rPr>
                <w:rFonts w:hAnsi="宋体"/>
                <w:kern w:val="2"/>
                <w:sz w:val="21"/>
                <w:szCs w:val="21"/>
              </w:rPr>
            </w:pPr>
            <w:r w:rsidRPr="004D52FF">
              <w:rPr>
                <w:rFonts w:hAnsi="宋体"/>
                <w:kern w:val="2"/>
                <w:sz w:val="21"/>
                <w:szCs w:val="21"/>
              </w:rPr>
              <w:t>2</w:t>
            </w:r>
          </w:p>
        </w:tc>
        <w:tc>
          <w:tcPr>
            <w:tcW w:w="1919" w:type="dxa"/>
            <w:vAlign w:val="center"/>
          </w:tcPr>
          <w:p w:rsidR="004D52FF" w:rsidRPr="004D52FF" w:rsidRDefault="004D52FF" w:rsidP="005609CB">
            <w:pPr>
              <w:snapToGrid w:val="0"/>
              <w:jc w:val="center"/>
              <w:rPr>
                <w:rFonts w:ascii="宋体" w:eastAsia="宋体" w:hAnsi="宋体"/>
                <w:sz w:val="21"/>
                <w:szCs w:val="21"/>
              </w:rPr>
            </w:pPr>
            <w:r w:rsidRPr="004D52FF">
              <w:rPr>
                <w:rFonts w:ascii="宋体" w:eastAsia="宋体" w:hAnsi="宋体" w:hint="eastAsia"/>
                <w:sz w:val="21"/>
                <w:szCs w:val="21"/>
              </w:rPr>
              <w:t>电气绝缘</w:t>
            </w:r>
          </w:p>
        </w:tc>
        <w:tc>
          <w:tcPr>
            <w:tcW w:w="2268" w:type="dxa"/>
          </w:tcPr>
          <w:p w:rsidR="004D52FF" w:rsidRPr="004D52FF" w:rsidRDefault="004D52FF" w:rsidP="004D52FF">
            <w:pPr>
              <w:pStyle w:val="a3"/>
              <w:jc w:val="center"/>
              <w:rPr>
                <w:rFonts w:hAnsi="宋体"/>
                <w:kern w:val="2"/>
                <w:sz w:val="21"/>
                <w:szCs w:val="21"/>
              </w:rPr>
            </w:pPr>
            <w:r w:rsidRPr="004D52FF">
              <w:rPr>
                <w:rFonts w:hAnsi="宋体" w:hint="eastAsia"/>
                <w:kern w:val="2"/>
                <w:sz w:val="21"/>
                <w:szCs w:val="21"/>
              </w:rPr>
              <w:t>GB 4943.1-2011条款2.9</w:t>
            </w:r>
          </w:p>
        </w:tc>
        <w:tc>
          <w:tcPr>
            <w:tcW w:w="2552" w:type="dxa"/>
          </w:tcPr>
          <w:p w:rsidR="004D52FF" w:rsidRPr="004D52FF" w:rsidRDefault="004D52FF" w:rsidP="005609CB">
            <w:pPr>
              <w:pStyle w:val="a3"/>
              <w:jc w:val="center"/>
              <w:rPr>
                <w:rFonts w:hAnsi="宋体"/>
                <w:kern w:val="2"/>
                <w:sz w:val="21"/>
                <w:szCs w:val="21"/>
              </w:rPr>
            </w:pPr>
            <w:r w:rsidRPr="004D52FF">
              <w:rPr>
                <w:rFonts w:hAnsi="宋体" w:hint="eastAsia"/>
                <w:kern w:val="2"/>
                <w:sz w:val="21"/>
                <w:szCs w:val="21"/>
              </w:rPr>
              <w:t>GB 4943.1-2011条款2.9</w:t>
            </w:r>
          </w:p>
        </w:tc>
        <w:tc>
          <w:tcPr>
            <w:tcW w:w="709" w:type="dxa"/>
            <w:vAlign w:val="center"/>
          </w:tcPr>
          <w:p w:rsidR="004D52FF" w:rsidRPr="004D52FF" w:rsidRDefault="004D52FF" w:rsidP="005609CB">
            <w:pPr>
              <w:pStyle w:val="a3"/>
              <w:jc w:val="center"/>
              <w:rPr>
                <w:rFonts w:hAnsi="宋体"/>
                <w:kern w:val="2"/>
                <w:sz w:val="21"/>
                <w:szCs w:val="21"/>
              </w:rPr>
            </w:pPr>
            <w:r w:rsidRPr="004D52FF">
              <w:rPr>
                <w:rFonts w:hAnsi="宋体" w:hint="eastAsia"/>
                <w:kern w:val="2"/>
                <w:sz w:val="21"/>
                <w:szCs w:val="21"/>
              </w:rPr>
              <w:t>●</w:t>
            </w:r>
          </w:p>
        </w:tc>
        <w:tc>
          <w:tcPr>
            <w:tcW w:w="952" w:type="dxa"/>
            <w:vAlign w:val="center"/>
          </w:tcPr>
          <w:p w:rsidR="004D52FF" w:rsidRDefault="004D52FF" w:rsidP="005609CB">
            <w:pPr>
              <w:pStyle w:val="a3"/>
              <w:jc w:val="center"/>
              <w:rPr>
                <w:rFonts w:hAnsi="宋体"/>
                <w:bCs/>
                <w:sz w:val="21"/>
                <w:szCs w:val="21"/>
              </w:rPr>
            </w:pPr>
          </w:p>
        </w:tc>
      </w:tr>
      <w:tr w:rsidR="004D52FF" w:rsidTr="00044235">
        <w:trPr>
          <w:cantSplit/>
          <w:jc w:val="center"/>
        </w:trPr>
        <w:tc>
          <w:tcPr>
            <w:tcW w:w="713" w:type="dxa"/>
            <w:vAlign w:val="center"/>
          </w:tcPr>
          <w:p w:rsidR="004D52FF" w:rsidRPr="004D52FF" w:rsidRDefault="004D52FF" w:rsidP="005609CB">
            <w:pPr>
              <w:pStyle w:val="a3"/>
              <w:jc w:val="center"/>
              <w:rPr>
                <w:rFonts w:hAnsi="宋体"/>
                <w:kern w:val="2"/>
                <w:sz w:val="21"/>
                <w:szCs w:val="21"/>
              </w:rPr>
            </w:pPr>
            <w:r w:rsidRPr="004D52FF">
              <w:rPr>
                <w:rFonts w:hAnsi="宋体"/>
                <w:kern w:val="2"/>
                <w:sz w:val="21"/>
                <w:szCs w:val="21"/>
              </w:rPr>
              <w:t>3</w:t>
            </w:r>
          </w:p>
        </w:tc>
        <w:tc>
          <w:tcPr>
            <w:tcW w:w="1919" w:type="dxa"/>
            <w:vAlign w:val="center"/>
          </w:tcPr>
          <w:p w:rsidR="004D52FF" w:rsidRPr="004D52FF" w:rsidRDefault="004D52FF" w:rsidP="005609CB">
            <w:pPr>
              <w:snapToGrid w:val="0"/>
              <w:jc w:val="center"/>
              <w:rPr>
                <w:rFonts w:ascii="宋体" w:eastAsia="宋体" w:hAnsi="宋体"/>
                <w:sz w:val="21"/>
                <w:szCs w:val="21"/>
              </w:rPr>
            </w:pPr>
            <w:r w:rsidRPr="004D52FF">
              <w:rPr>
                <w:rFonts w:ascii="宋体" w:eastAsia="宋体" w:hAnsi="宋体" w:hint="eastAsia"/>
                <w:sz w:val="21"/>
                <w:szCs w:val="21"/>
              </w:rPr>
              <w:t>电气间隙与爬电距离</w:t>
            </w:r>
          </w:p>
        </w:tc>
        <w:tc>
          <w:tcPr>
            <w:tcW w:w="2268" w:type="dxa"/>
          </w:tcPr>
          <w:p w:rsidR="004D52FF" w:rsidRPr="004D52FF" w:rsidRDefault="004D52FF" w:rsidP="004D52FF">
            <w:pPr>
              <w:pStyle w:val="a3"/>
              <w:jc w:val="center"/>
              <w:rPr>
                <w:rFonts w:hAnsi="宋体"/>
                <w:kern w:val="2"/>
                <w:sz w:val="21"/>
                <w:szCs w:val="21"/>
              </w:rPr>
            </w:pPr>
            <w:r w:rsidRPr="004D52FF">
              <w:rPr>
                <w:rFonts w:hAnsi="宋体" w:hint="eastAsia"/>
                <w:kern w:val="2"/>
                <w:sz w:val="21"/>
                <w:szCs w:val="21"/>
              </w:rPr>
              <w:t>GB 4943.1-2011条款2.10</w:t>
            </w:r>
          </w:p>
        </w:tc>
        <w:tc>
          <w:tcPr>
            <w:tcW w:w="2552" w:type="dxa"/>
          </w:tcPr>
          <w:p w:rsidR="004D52FF" w:rsidRPr="004D52FF" w:rsidRDefault="004D52FF" w:rsidP="005609CB">
            <w:pPr>
              <w:pStyle w:val="a3"/>
              <w:jc w:val="center"/>
              <w:rPr>
                <w:rFonts w:hAnsi="宋体"/>
                <w:kern w:val="2"/>
                <w:sz w:val="21"/>
                <w:szCs w:val="21"/>
              </w:rPr>
            </w:pPr>
            <w:r w:rsidRPr="004D52FF">
              <w:rPr>
                <w:rFonts w:hAnsi="宋体" w:hint="eastAsia"/>
                <w:kern w:val="2"/>
                <w:sz w:val="21"/>
                <w:szCs w:val="21"/>
              </w:rPr>
              <w:t>GB 4943.1-2011条款2.10</w:t>
            </w:r>
          </w:p>
        </w:tc>
        <w:tc>
          <w:tcPr>
            <w:tcW w:w="709" w:type="dxa"/>
            <w:vAlign w:val="center"/>
          </w:tcPr>
          <w:p w:rsidR="004D52FF" w:rsidRPr="004D52FF" w:rsidRDefault="004D52FF" w:rsidP="005609CB">
            <w:pPr>
              <w:pStyle w:val="a3"/>
              <w:jc w:val="center"/>
              <w:rPr>
                <w:rFonts w:hAnsi="宋体"/>
                <w:kern w:val="2"/>
                <w:sz w:val="21"/>
                <w:szCs w:val="21"/>
              </w:rPr>
            </w:pPr>
            <w:r w:rsidRPr="004D52FF">
              <w:rPr>
                <w:rFonts w:hAnsi="宋体" w:hint="eastAsia"/>
                <w:kern w:val="2"/>
                <w:sz w:val="21"/>
                <w:szCs w:val="21"/>
              </w:rPr>
              <w:t>●</w:t>
            </w:r>
          </w:p>
        </w:tc>
        <w:tc>
          <w:tcPr>
            <w:tcW w:w="952" w:type="dxa"/>
            <w:vAlign w:val="center"/>
          </w:tcPr>
          <w:p w:rsidR="004D52FF" w:rsidRDefault="004D52FF" w:rsidP="005609CB">
            <w:pPr>
              <w:pStyle w:val="a3"/>
              <w:jc w:val="center"/>
              <w:rPr>
                <w:rFonts w:hAnsi="宋体"/>
                <w:bCs/>
                <w:sz w:val="21"/>
                <w:szCs w:val="21"/>
              </w:rPr>
            </w:pPr>
          </w:p>
        </w:tc>
      </w:tr>
      <w:tr w:rsidR="004D52FF" w:rsidTr="00044235">
        <w:trPr>
          <w:cantSplit/>
          <w:jc w:val="center"/>
        </w:trPr>
        <w:tc>
          <w:tcPr>
            <w:tcW w:w="713" w:type="dxa"/>
            <w:vAlign w:val="center"/>
          </w:tcPr>
          <w:p w:rsidR="004D52FF" w:rsidRPr="004D52FF" w:rsidRDefault="004D52FF" w:rsidP="005609CB">
            <w:pPr>
              <w:pStyle w:val="a3"/>
              <w:jc w:val="center"/>
              <w:rPr>
                <w:rFonts w:hAnsi="宋体"/>
                <w:kern w:val="2"/>
                <w:sz w:val="21"/>
                <w:szCs w:val="21"/>
              </w:rPr>
            </w:pPr>
            <w:r w:rsidRPr="004D52FF">
              <w:rPr>
                <w:rFonts w:hAnsi="宋体"/>
                <w:kern w:val="2"/>
                <w:sz w:val="21"/>
                <w:szCs w:val="21"/>
              </w:rPr>
              <w:t>4</w:t>
            </w:r>
          </w:p>
        </w:tc>
        <w:tc>
          <w:tcPr>
            <w:tcW w:w="1919" w:type="dxa"/>
            <w:vAlign w:val="center"/>
          </w:tcPr>
          <w:p w:rsidR="004D52FF" w:rsidRPr="004D52FF" w:rsidRDefault="004D52FF" w:rsidP="005609CB">
            <w:pPr>
              <w:snapToGrid w:val="0"/>
              <w:jc w:val="center"/>
              <w:rPr>
                <w:rFonts w:ascii="宋体" w:eastAsia="宋体" w:hAnsi="宋体"/>
                <w:sz w:val="21"/>
                <w:szCs w:val="21"/>
              </w:rPr>
            </w:pPr>
            <w:r w:rsidRPr="004D52FF">
              <w:rPr>
                <w:rFonts w:ascii="宋体" w:eastAsia="宋体" w:hAnsi="宋体" w:hint="eastAsia"/>
                <w:sz w:val="21"/>
                <w:szCs w:val="21"/>
              </w:rPr>
              <w:t>导体的端接</w:t>
            </w:r>
          </w:p>
        </w:tc>
        <w:tc>
          <w:tcPr>
            <w:tcW w:w="2268" w:type="dxa"/>
          </w:tcPr>
          <w:p w:rsidR="004D52FF" w:rsidRPr="004D52FF" w:rsidRDefault="004D52FF" w:rsidP="004D52FF">
            <w:pPr>
              <w:pStyle w:val="a3"/>
              <w:jc w:val="center"/>
              <w:rPr>
                <w:rFonts w:hAnsi="宋体"/>
                <w:kern w:val="2"/>
                <w:sz w:val="21"/>
                <w:szCs w:val="21"/>
              </w:rPr>
            </w:pPr>
            <w:r w:rsidRPr="004D52FF">
              <w:rPr>
                <w:rFonts w:hAnsi="宋体" w:hint="eastAsia"/>
                <w:kern w:val="2"/>
                <w:sz w:val="21"/>
                <w:szCs w:val="21"/>
              </w:rPr>
              <w:t>GB 4943.1-2011条款3.1.9</w:t>
            </w:r>
          </w:p>
        </w:tc>
        <w:tc>
          <w:tcPr>
            <w:tcW w:w="2552" w:type="dxa"/>
          </w:tcPr>
          <w:p w:rsidR="004D52FF" w:rsidRPr="004D52FF" w:rsidRDefault="004D52FF" w:rsidP="005609CB">
            <w:pPr>
              <w:pStyle w:val="a3"/>
              <w:jc w:val="center"/>
              <w:rPr>
                <w:rFonts w:hAnsi="宋体"/>
                <w:kern w:val="2"/>
                <w:sz w:val="21"/>
                <w:szCs w:val="21"/>
              </w:rPr>
            </w:pPr>
            <w:r w:rsidRPr="004D52FF">
              <w:rPr>
                <w:rFonts w:hAnsi="宋体" w:hint="eastAsia"/>
                <w:kern w:val="2"/>
                <w:sz w:val="21"/>
                <w:szCs w:val="21"/>
              </w:rPr>
              <w:t>GB 4943.1-2011条款3.1.9</w:t>
            </w:r>
          </w:p>
        </w:tc>
        <w:tc>
          <w:tcPr>
            <w:tcW w:w="709" w:type="dxa"/>
            <w:vAlign w:val="center"/>
          </w:tcPr>
          <w:p w:rsidR="004D52FF" w:rsidRPr="004D52FF" w:rsidRDefault="004D52FF" w:rsidP="005609CB">
            <w:pPr>
              <w:pStyle w:val="a3"/>
              <w:jc w:val="center"/>
              <w:rPr>
                <w:rFonts w:hAnsi="宋体"/>
                <w:kern w:val="2"/>
                <w:sz w:val="21"/>
                <w:szCs w:val="21"/>
              </w:rPr>
            </w:pPr>
            <w:r w:rsidRPr="004D52FF">
              <w:rPr>
                <w:rFonts w:hAnsi="宋体" w:hint="eastAsia"/>
                <w:kern w:val="2"/>
                <w:sz w:val="21"/>
                <w:szCs w:val="21"/>
              </w:rPr>
              <w:t>●</w:t>
            </w:r>
          </w:p>
        </w:tc>
        <w:tc>
          <w:tcPr>
            <w:tcW w:w="952" w:type="dxa"/>
            <w:vAlign w:val="center"/>
          </w:tcPr>
          <w:p w:rsidR="004D52FF" w:rsidRDefault="004D52FF" w:rsidP="005609CB">
            <w:pPr>
              <w:pStyle w:val="a3"/>
              <w:jc w:val="center"/>
              <w:rPr>
                <w:rFonts w:hAnsi="宋体"/>
                <w:bCs/>
                <w:sz w:val="21"/>
                <w:szCs w:val="21"/>
              </w:rPr>
            </w:pPr>
          </w:p>
        </w:tc>
      </w:tr>
      <w:tr w:rsidR="004D52FF" w:rsidTr="00044235">
        <w:trPr>
          <w:cantSplit/>
          <w:jc w:val="center"/>
        </w:trPr>
        <w:tc>
          <w:tcPr>
            <w:tcW w:w="713" w:type="dxa"/>
            <w:vAlign w:val="center"/>
          </w:tcPr>
          <w:p w:rsidR="004D52FF" w:rsidRPr="004D52FF" w:rsidRDefault="004D52FF" w:rsidP="005609CB">
            <w:pPr>
              <w:pStyle w:val="a3"/>
              <w:jc w:val="center"/>
              <w:rPr>
                <w:rFonts w:hAnsi="宋体"/>
                <w:kern w:val="2"/>
                <w:sz w:val="21"/>
                <w:szCs w:val="21"/>
              </w:rPr>
            </w:pPr>
            <w:r w:rsidRPr="004D52FF">
              <w:rPr>
                <w:rFonts w:hAnsi="宋体"/>
                <w:kern w:val="2"/>
                <w:sz w:val="21"/>
                <w:szCs w:val="21"/>
              </w:rPr>
              <w:t>5</w:t>
            </w:r>
          </w:p>
        </w:tc>
        <w:tc>
          <w:tcPr>
            <w:tcW w:w="1919" w:type="dxa"/>
            <w:vAlign w:val="center"/>
          </w:tcPr>
          <w:p w:rsidR="004D52FF" w:rsidRPr="004D52FF" w:rsidRDefault="004D52FF" w:rsidP="005609CB">
            <w:pPr>
              <w:snapToGrid w:val="0"/>
              <w:jc w:val="center"/>
              <w:rPr>
                <w:rFonts w:ascii="宋体" w:eastAsia="宋体" w:hAnsi="宋体"/>
                <w:sz w:val="21"/>
                <w:szCs w:val="21"/>
              </w:rPr>
            </w:pPr>
            <w:r w:rsidRPr="004D52FF">
              <w:rPr>
                <w:rFonts w:ascii="宋体" w:eastAsia="宋体" w:hAnsi="宋体" w:hint="eastAsia"/>
                <w:sz w:val="21"/>
                <w:szCs w:val="21"/>
              </w:rPr>
              <w:t>跌落试验</w:t>
            </w:r>
          </w:p>
        </w:tc>
        <w:tc>
          <w:tcPr>
            <w:tcW w:w="2268" w:type="dxa"/>
          </w:tcPr>
          <w:p w:rsidR="004D52FF" w:rsidRPr="004D52FF" w:rsidRDefault="004D52FF" w:rsidP="004D52FF">
            <w:pPr>
              <w:pStyle w:val="a3"/>
              <w:jc w:val="center"/>
              <w:rPr>
                <w:rFonts w:hAnsi="宋体"/>
                <w:kern w:val="2"/>
                <w:sz w:val="21"/>
                <w:szCs w:val="21"/>
              </w:rPr>
            </w:pPr>
            <w:r w:rsidRPr="004D52FF">
              <w:rPr>
                <w:rFonts w:hAnsi="宋体" w:hint="eastAsia"/>
                <w:kern w:val="2"/>
                <w:sz w:val="21"/>
                <w:szCs w:val="21"/>
              </w:rPr>
              <w:t>GB 4943.1-2011条款4.2.6</w:t>
            </w:r>
          </w:p>
        </w:tc>
        <w:tc>
          <w:tcPr>
            <w:tcW w:w="2552" w:type="dxa"/>
          </w:tcPr>
          <w:p w:rsidR="004D52FF" w:rsidRPr="004D52FF" w:rsidRDefault="004D52FF" w:rsidP="005609CB">
            <w:pPr>
              <w:pStyle w:val="a3"/>
              <w:jc w:val="center"/>
              <w:rPr>
                <w:rFonts w:hAnsi="宋体"/>
                <w:kern w:val="2"/>
                <w:sz w:val="21"/>
                <w:szCs w:val="21"/>
              </w:rPr>
            </w:pPr>
            <w:r w:rsidRPr="004D52FF">
              <w:rPr>
                <w:rFonts w:hAnsi="宋体" w:hint="eastAsia"/>
                <w:kern w:val="2"/>
                <w:sz w:val="21"/>
                <w:szCs w:val="21"/>
              </w:rPr>
              <w:t>GB 4943.1-2011条款4.2.6</w:t>
            </w:r>
          </w:p>
        </w:tc>
        <w:tc>
          <w:tcPr>
            <w:tcW w:w="709" w:type="dxa"/>
            <w:vAlign w:val="center"/>
          </w:tcPr>
          <w:p w:rsidR="004D52FF" w:rsidRPr="004D52FF" w:rsidRDefault="004D52FF" w:rsidP="005609CB">
            <w:pPr>
              <w:pStyle w:val="a3"/>
              <w:jc w:val="center"/>
              <w:rPr>
                <w:rFonts w:hAnsi="宋体"/>
                <w:kern w:val="2"/>
                <w:sz w:val="21"/>
                <w:szCs w:val="21"/>
              </w:rPr>
            </w:pPr>
            <w:r w:rsidRPr="004D52FF">
              <w:rPr>
                <w:rFonts w:hAnsi="宋体" w:hint="eastAsia"/>
                <w:kern w:val="2"/>
                <w:sz w:val="21"/>
                <w:szCs w:val="21"/>
              </w:rPr>
              <w:t>●</w:t>
            </w:r>
          </w:p>
        </w:tc>
        <w:tc>
          <w:tcPr>
            <w:tcW w:w="952" w:type="dxa"/>
            <w:vAlign w:val="center"/>
          </w:tcPr>
          <w:p w:rsidR="004D52FF" w:rsidRDefault="004D52FF" w:rsidP="005609CB">
            <w:pPr>
              <w:pStyle w:val="a3"/>
              <w:jc w:val="center"/>
              <w:rPr>
                <w:rFonts w:hAnsi="宋体"/>
                <w:bCs/>
                <w:sz w:val="21"/>
                <w:szCs w:val="21"/>
              </w:rPr>
            </w:pPr>
          </w:p>
        </w:tc>
      </w:tr>
      <w:tr w:rsidR="004D52FF" w:rsidTr="00044235">
        <w:trPr>
          <w:cantSplit/>
          <w:jc w:val="center"/>
        </w:trPr>
        <w:tc>
          <w:tcPr>
            <w:tcW w:w="713" w:type="dxa"/>
            <w:vAlign w:val="center"/>
          </w:tcPr>
          <w:p w:rsidR="004D52FF" w:rsidRPr="004D52FF" w:rsidRDefault="004D52FF" w:rsidP="005609CB">
            <w:pPr>
              <w:pStyle w:val="a3"/>
              <w:jc w:val="center"/>
              <w:rPr>
                <w:rFonts w:hAnsi="宋体"/>
                <w:kern w:val="2"/>
                <w:sz w:val="21"/>
                <w:szCs w:val="21"/>
              </w:rPr>
            </w:pPr>
            <w:r w:rsidRPr="004D52FF">
              <w:rPr>
                <w:rFonts w:hAnsi="宋体"/>
                <w:kern w:val="2"/>
                <w:sz w:val="21"/>
                <w:szCs w:val="21"/>
              </w:rPr>
              <w:t>6</w:t>
            </w:r>
          </w:p>
        </w:tc>
        <w:tc>
          <w:tcPr>
            <w:tcW w:w="1919" w:type="dxa"/>
          </w:tcPr>
          <w:p w:rsidR="004D52FF" w:rsidRPr="004D52FF" w:rsidRDefault="004D52FF" w:rsidP="005609CB">
            <w:pPr>
              <w:snapToGrid w:val="0"/>
              <w:jc w:val="center"/>
              <w:rPr>
                <w:rFonts w:ascii="宋体" w:eastAsia="宋体" w:hAnsi="宋体"/>
                <w:sz w:val="21"/>
                <w:szCs w:val="21"/>
              </w:rPr>
            </w:pPr>
            <w:r w:rsidRPr="004D52FF">
              <w:rPr>
                <w:rFonts w:ascii="宋体" w:eastAsia="宋体" w:hAnsi="宋体" w:hint="eastAsia"/>
                <w:sz w:val="21"/>
                <w:szCs w:val="21"/>
              </w:rPr>
              <w:t>直插式设备</w:t>
            </w:r>
          </w:p>
        </w:tc>
        <w:tc>
          <w:tcPr>
            <w:tcW w:w="2268" w:type="dxa"/>
          </w:tcPr>
          <w:p w:rsidR="004D52FF" w:rsidRPr="004D52FF" w:rsidRDefault="004D52FF" w:rsidP="004D52FF">
            <w:pPr>
              <w:pStyle w:val="a3"/>
              <w:jc w:val="center"/>
              <w:rPr>
                <w:rFonts w:hAnsi="宋体"/>
                <w:kern w:val="2"/>
                <w:sz w:val="21"/>
                <w:szCs w:val="21"/>
              </w:rPr>
            </w:pPr>
            <w:r w:rsidRPr="004D52FF">
              <w:rPr>
                <w:rFonts w:hAnsi="宋体" w:hint="eastAsia"/>
                <w:kern w:val="2"/>
                <w:sz w:val="21"/>
                <w:szCs w:val="21"/>
              </w:rPr>
              <w:t>GB 4943.1-2011条款4.3.6</w:t>
            </w:r>
          </w:p>
        </w:tc>
        <w:tc>
          <w:tcPr>
            <w:tcW w:w="2552" w:type="dxa"/>
          </w:tcPr>
          <w:p w:rsidR="004D52FF" w:rsidRPr="004D52FF" w:rsidRDefault="004D52FF" w:rsidP="005609CB">
            <w:pPr>
              <w:pStyle w:val="a3"/>
              <w:jc w:val="center"/>
              <w:rPr>
                <w:rFonts w:hAnsi="宋体"/>
                <w:kern w:val="2"/>
                <w:sz w:val="21"/>
                <w:szCs w:val="21"/>
              </w:rPr>
            </w:pPr>
            <w:r w:rsidRPr="004D52FF">
              <w:rPr>
                <w:rFonts w:hAnsi="宋体" w:hint="eastAsia"/>
                <w:kern w:val="2"/>
                <w:sz w:val="21"/>
                <w:szCs w:val="21"/>
              </w:rPr>
              <w:t>GB 4943.1-2011条款4.3.6</w:t>
            </w:r>
          </w:p>
        </w:tc>
        <w:tc>
          <w:tcPr>
            <w:tcW w:w="709" w:type="dxa"/>
            <w:vAlign w:val="center"/>
          </w:tcPr>
          <w:p w:rsidR="004D52FF" w:rsidRPr="004D52FF" w:rsidRDefault="004D52FF" w:rsidP="005609CB">
            <w:pPr>
              <w:pStyle w:val="a3"/>
              <w:jc w:val="center"/>
              <w:rPr>
                <w:rFonts w:hAnsi="宋体"/>
                <w:kern w:val="2"/>
                <w:sz w:val="21"/>
                <w:szCs w:val="21"/>
              </w:rPr>
            </w:pPr>
            <w:r w:rsidRPr="004D52FF">
              <w:rPr>
                <w:rFonts w:hAnsi="宋体" w:hint="eastAsia"/>
                <w:kern w:val="2"/>
                <w:sz w:val="21"/>
                <w:szCs w:val="21"/>
              </w:rPr>
              <w:t>●</w:t>
            </w:r>
          </w:p>
        </w:tc>
        <w:tc>
          <w:tcPr>
            <w:tcW w:w="952" w:type="dxa"/>
            <w:vAlign w:val="center"/>
          </w:tcPr>
          <w:p w:rsidR="004D52FF" w:rsidRDefault="004D52FF" w:rsidP="005609CB">
            <w:pPr>
              <w:pStyle w:val="a3"/>
              <w:jc w:val="center"/>
              <w:rPr>
                <w:rFonts w:hAnsi="宋体"/>
                <w:bCs/>
                <w:sz w:val="21"/>
                <w:szCs w:val="21"/>
              </w:rPr>
            </w:pPr>
          </w:p>
        </w:tc>
      </w:tr>
      <w:tr w:rsidR="004D52FF" w:rsidTr="00044235">
        <w:trPr>
          <w:cantSplit/>
          <w:jc w:val="center"/>
        </w:trPr>
        <w:tc>
          <w:tcPr>
            <w:tcW w:w="713" w:type="dxa"/>
            <w:vAlign w:val="center"/>
          </w:tcPr>
          <w:p w:rsidR="004D52FF" w:rsidRPr="004D52FF" w:rsidRDefault="004D52FF" w:rsidP="005609CB">
            <w:pPr>
              <w:pStyle w:val="a3"/>
              <w:jc w:val="center"/>
              <w:rPr>
                <w:rFonts w:hAnsi="宋体"/>
                <w:kern w:val="2"/>
                <w:sz w:val="21"/>
                <w:szCs w:val="21"/>
              </w:rPr>
            </w:pPr>
            <w:r w:rsidRPr="004D52FF">
              <w:rPr>
                <w:rFonts w:hAnsi="宋体"/>
                <w:kern w:val="2"/>
                <w:sz w:val="21"/>
                <w:szCs w:val="21"/>
              </w:rPr>
              <w:t>7</w:t>
            </w:r>
          </w:p>
        </w:tc>
        <w:tc>
          <w:tcPr>
            <w:tcW w:w="1919" w:type="dxa"/>
          </w:tcPr>
          <w:p w:rsidR="004D52FF" w:rsidRPr="004D52FF" w:rsidRDefault="004D52FF" w:rsidP="005609CB">
            <w:pPr>
              <w:snapToGrid w:val="0"/>
              <w:jc w:val="center"/>
              <w:rPr>
                <w:rFonts w:ascii="宋体" w:eastAsia="宋体" w:hAnsi="宋体"/>
                <w:sz w:val="21"/>
                <w:szCs w:val="21"/>
              </w:rPr>
            </w:pPr>
            <w:r w:rsidRPr="004D52FF">
              <w:rPr>
                <w:rFonts w:ascii="宋体" w:eastAsia="宋体" w:hAnsi="宋体" w:hint="eastAsia"/>
                <w:sz w:val="21"/>
                <w:szCs w:val="21"/>
              </w:rPr>
              <w:t>耐异常热</w:t>
            </w:r>
          </w:p>
        </w:tc>
        <w:tc>
          <w:tcPr>
            <w:tcW w:w="2268" w:type="dxa"/>
          </w:tcPr>
          <w:p w:rsidR="004D52FF" w:rsidRPr="004D52FF" w:rsidRDefault="004D52FF" w:rsidP="004D52FF">
            <w:pPr>
              <w:pStyle w:val="a3"/>
              <w:jc w:val="center"/>
              <w:rPr>
                <w:rFonts w:hAnsi="宋体"/>
                <w:kern w:val="2"/>
                <w:sz w:val="21"/>
                <w:szCs w:val="21"/>
              </w:rPr>
            </w:pPr>
            <w:r w:rsidRPr="004D52FF">
              <w:rPr>
                <w:rFonts w:hAnsi="宋体" w:hint="eastAsia"/>
                <w:kern w:val="2"/>
                <w:sz w:val="21"/>
                <w:szCs w:val="21"/>
              </w:rPr>
              <w:t>GB 4943.1-2011条款4.5.5</w:t>
            </w:r>
          </w:p>
        </w:tc>
        <w:tc>
          <w:tcPr>
            <w:tcW w:w="2552" w:type="dxa"/>
          </w:tcPr>
          <w:p w:rsidR="004D52FF" w:rsidRPr="004D52FF" w:rsidRDefault="004D52FF" w:rsidP="005609CB">
            <w:pPr>
              <w:pStyle w:val="a3"/>
              <w:jc w:val="center"/>
              <w:rPr>
                <w:rFonts w:hAnsi="宋体"/>
                <w:kern w:val="2"/>
                <w:sz w:val="21"/>
                <w:szCs w:val="21"/>
              </w:rPr>
            </w:pPr>
            <w:r w:rsidRPr="004D52FF">
              <w:rPr>
                <w:rFonts w:hAnsi="宋体" w:hint="eastAsia"/>
                <w:kern w:val="2"/>
                <w:sz w:val="21"/>
                <w:szCs w:val="21"/>
              </w:rPr>
              <w:t>GB 4943.1-2011条款4.5.5</w:t>
            </w:r>
          </w:p>
        </w:tc>
        <w:tc>
          <w:tcPr>
            <w:tcW w:w="709" w:type="dxa"/>
            <w:vAlign w:val="center"/>
          </w:tcPr>
          <w:p w:rsidR="004D52FF" w:rsidRPr="004D52FF" w:rsidRDefault="004D52FF" w:rsidP="005609CB">
            <w:pPr>
              <w:pStyle w:val="a3"/>
              <w:jc w:val="center"/>
              <w:rPr>
                <w:rFonts w:hAnsi="宋体"/>
                <w:kern w:val="2"/>
                <w:sz w:val="21"/>
                <w:szCs w:val="21"/>
              </w:rPr>
            </w:pPr>
            <w:r w:rsidRPr="004D52FF">
              <w:rPr>
                <w:rFonts w:hAnsi="宋体" w:hint="eastAsia"/>
                <w:kern w:val="2"/>
                <w:sz w:val="21"/>
                <w:szCs w:val="21"/>
              </w:rPr>
              <w:t>●</w:t>
            </w:r>
          </w:p>
        </w:tc>
        <w:tc>
          <w:tcPr>
            <w:tcW w:w="952" w:type="dxa"/>
            <w:vAlign w:val="center"/>
          </w:tcPr>
          <w:p w:rsidR="004D52FF" w:rsidRDefault="004D52FF" w:rsidP="005609CB">
            <w:pPr>
              <w:pStyle w:val="a3"/>
              <w:jc w:val="center"/>
              <w:rPr>
                <w:rFonts w:hAnsi="宋体"/>
                <w:bCs/>
                <w:sz w:val="21"/>
                <w:szCs w:val="21"/>
              </w:rPr>
            </w:pPr>
          </w:p>
        </w:tc>
      </w:tr>
      <w:tr w:rsidR="004D52FF" w:rsidTr="00044235">
        <w:trPr>
          <w:cantSplit/>
          <w:jc w:val="center"/>
        </w:trPr>
        <w:tc>
          <w:tcPr>
            <w:tcW w:w="713" w:type="dxa"/>
            <w:vAlign w:val="center"/>
          </w:tcPr>
          <w:p w:rsidR="004D52FF" w:rsidRPr="004D52FF" w:rsidRDefault="004D52FF" w:rsidP="005609CB">
            <w:pPr>
              <w:pStyle w:val="a3"/>
              <w:jc w:val="center"/>
              <w:rPr>
                <w:rFonts w:hAnsi="宋体"/>
                <w:kern w:val="2"/>
                <w:sz w:val="21"/>
                <w:szCs w:val="21"/>
              </w:rPr>
            </w:pPr>
            <w:r w:rsidRPr="004D52FF">
              <w:rPr>
                <w:rFonts w:hAnsi="宋体"/>
                <w:kern w:val="2"/>
                <w:sz w:val="21"/>
                <w:szCs w:val="21"/>
              </w:rPr>
              <w:t>8</w:t>
            </w:r>
          </w:p>
        </w:tc>
        <w:tc>
          <w:tcPr>
            <w:tcW w:w="1919" w:type="dxa"/>
            <w:vAlign w:val="center"/>
          </w:tcPr>
          <w:p w:rsidR="004D52FF" w:rsidRPr="004D52FF" w:rsidRDefault="004D52FF" w:rsidP="005609CB">
            <w:pPr>
              <w:snapToGrid w:val="0"/>
              <w:jc w:val="center"/>
              <w:rPr>
                <w:rFonts w:ascii="宋体" w:eastAsia="宋体" w:hAnsi="宋体"/>
                <w:sz w:val="21"/>
                <w:szCs w:val="21"/>
              </w:rPr>
            </w:pPr>
            <w:r w:rsidRPr="004D52FF">
              <w:rPr>
                <w:rFonts w:ascii="宋体" w:eastAsia="宋体" w:hAnsi="宋体" w:hint="eastAsia"/>
                <w:sz w:val="21"/>
                <w:szCs w:val="21"/>
              </w:rPr>
              <w:t>接触电流和保护导体电流</w:t>
            </w:r>
          </w:p>
        </w:tc>
        <w:tc>
          <w:tcPr>
            <w:tcW w:w="2268" w:type="dxa"/>
          </w:tcPr>
          <w:p w:rsidR="004D52FF" w:rsidRPr="004D52FF" w:rsidRDefault="004D52FF" w:rsidP="004D52FF">
            <w:pPr>
              <w:pStyle w:val="a3"/>
              <w:jc w:val="center"/>
              <w:rPr>
                <w:rFonts w:hAnsi="宋体"/>
                <w:kern w:val="2"/>
                <w:sz w:val="21"/>
                <w:szCs w:val="21"/>
              </w:rPr>
            </w:pPr>
            <w:r w:rsidRPr="004D52FF">
              <w:rPr>
                <w:rFonts w:hAnsi="宋体" w:hint="eastAsia"/>
                <w:kern w:val="2"/>
                <w:sz w:val="21"/>
                <w:szCs w:val="21"/>
              </w:rPr>
              <w:t>GB 4943.1-2011条款5.1</w:t>
            </w:r>
          </w:p>
        </w:tc>
        <w:tc>
          <w:tcPr>
            <w:tcW w:w="2552" w:type="dxa"/>
          </w:tcPr>
          <w:p w:rsidR="004D52FF" w:rsidRPr="004D52FF" w:rsidRDefault="004D52FF" w:rsidP="005609CB">
            <w:pPr>
              <w:pStyle w:val="a3"/>
              <w:jc w:val="center"/>
              <w:rPr>
                <w:rFonts w:hAnsi="宋体"/>
                <w:kern w:val="2"/>
                <w:sz w:val="21"/>
                <w:szCs w:val="21"/>
              </w:rPr>
            </w:pPr>
            <w:r w:rsidRPr="004D52FF">
              <w:rPr>
                <w:rFonts w:hAnsi="宋体" w:hint="eastAsia"/>
                <w:kern w:val="2"/>
                <w:sz w:val="21"/>
                <w:szCs w:val="21"/>
              </w:rPr>
              <w:t>GB 4943.1-2011条款5.1</w:t>
            </w:r>
          </w:p>
        </w:tc>
        <w:tc>
          <w:tcPr>
            <w:tcW w:w="709" w:type="dxa"/>
            <w:vAlign w:val="center"/>
          </w:tcPr>
          <w:p w:rsidR="004D52FF" w:rsidRPr="004D52FF" w:rsidRDefault="004D52FF" w:rsidP="005609CB">
            <w:pPr>
              <w:pStyle w:val="a3"/>
              <w:jc w:val="center"/>
              <w:rPr>
                <w:rFonts w:hAnsi="宋体"/>
                <w:kern w:val="2"/>
                <w:sz w:val="21"/>
                <w:szCs w:val="21"/>
              </w:rPr>
            </w:pPr>
            <w:r w:rsidRPr="004D52FF">
              <w:rPr>
                <w:rFonts w:hAnsi="宋体" w:hint="eastAsia"/>
                <w:kern w:val="2"/>
                <w:sz w:val="21"/>
                <w:szCs w:val="21"/>
              </w:rPr>
              <w:t>●</w:t>
            </w:r>
          </w:p>
        </w:tc>
        <w:tc>
          <w:tcPr>
            <w:tcW w:w="952" w:type="dxa"/>
            <w:vAlign w:val="center"/>
          </w:tcPr>
          <w:p w:rsidR="004D52FF" w:rsidRDefault="004D52FF" w:rsidP="005609CB">
            <w:pPr>
              <w:pStyle w:val="a3"/>
              <w:jc w:val="center"/>
              <w:rPr>
                <w:rFonts w:hAnsi="宋体"/>
                <w:bCs/>
                <w:sz w:val="21"/>
                <w:szCs w:val="21"/>
              </w:rPr>
            </w:pPr>
          </w:p>
        </w:tc>
      </w:tr>
      <w:tr w:rsidR="004D52FF" w:rsidTr="004D52FF">
        <w:trPr>
          <w:cantSplit/>
          <w:jc w:val="center"/>
        </w:trPr>
        <w:tc>
          <w:tcPr>
            <w:tcW w:w="713" w:type="dxa"/>
            <w:vAlign w:val="center"/>
          </w:tcPr>
          <w:p w:rsidR="004D52FF" w:rsidRPr="004D52FF" w:rsidRDefault="004D52FF" w:rsidP="005609CB">
            <w:pPr>
              <w:pStyle w:val="a3"/>
              <w:jc w:val="center"/>
              <w:rPr>
                <w:rFonts w:hAnsi="宋体"/>
                <w:kern w:val="2"/>
                <w:sz w:val="21"/>
                <w:szCs w:val="21"/>
              </w:rPr>
            </w:pPr>
            <w:r w:rsidRPr="004D52FF">
              <w:rPr>
                <w:rFonts w:hAnsi="宋体"/>
                <w:kern w:val="2"/>
                <w:sz w:val="21"/>
                <w:szCs w:val="21"/>
              </w:rPr>
              <w:t>9</w:t>
            </w:r>
          </w:p>
        </w:tc>
        <w:tc>
          <w:tcPr>
            <w:tcW w:w="1919" w:type="dxa"/>
            <w:vAlign w:val="center"/>
          </w:tcPr>
          <w:p w:rsidR="004D52FF" w:rsidRPr="004D52FF" w:rsidRDefault="004D52FF" w:rsidP="005609CB">
            <w:pPr>
              <w:snapToGrid w:val="0"/>
              <w:jc w:val="center"/>
              <w:rPr>
                <w:rFonts w:ascii="宋体" w:eastAsia="宋体" w:hAnsi="宋体"/>
                <w:sz w:val="21"/>
                <w:szCs w:val="21"/>
              </w:rPr>
            </w:pPr>
            <w:r w:rsidRPr="004D52FF">
              <w:rPr>
                <w:rFonts w:ascii="宋体" w:eastAsia="宋体" w:hAnsi="宋体" w:hint="eastAsia"/>
                <w:sz w:val="21"/>
                <w:szCs w:val="21"/>
              </w:rPr>
              <w:t>抗电强度</w:t>
            </w:r>
          </w:p>
        </w:tc>
        <w:tc>
          <w:tcPr>
            <w:tcW w:w="2268" w:type="dxa"/>
            <w:vAlign w:val="center"/>
          </w:tcPr>
          <w:p w:rsidR="004D52FF" w:rsidRPr="004D52FF" w:rsidRDefault="004D52FF" w:rsidP="004D52FF">
            <w:pPr>
              <w:pStyle w:val="a3"/>
              <w:jc w:val="center"/>
              <w:rPr>
                <w:rFonts w:hAnsi="宋体"/>
                <w:kern w:val="2"/>
                <w:sz w:val="21"/>
                <w:szCs w:val="21"/>
              </w:rPr>
            </w:pPr>
            <w:r w:rsidRPr="004D52FF">
              <w:rPr>
                <w:rFonts w:hAnsi="宋体" w:hint="eastAsia"/>
                <w:kern w:val="2"/>
                <w:sz w:val="21"/>
                <w:szCs w:val="21"/>
              </w:rPr>
              <w:t>GB 4943.1-2011条款5.2</w:t>
            </w:r>
          </w:p>
        </w:tc>
        <w:tc>
          <w:tcPr>
            <w:tcW w:w="2552" w:type="dxa"/>
            <w:vAlign w:val="center"/>
          </w:tcPr>
          <w:p w:rsidR="004D52FF" w:rsidRPr="004D52FF" w:rsidRDefault="004D52FF" w:rsidP="005609CB">
            <w:pPr>
              <w:pStyle w:val="a3"/>
              <w:jc w:val="center"/>
              <w:rPr>
                <w:rFonts w:hAnsi="宋体"/>
                <w:kern w:val="2"/>
                <w:sz w:val="21"/>
                <w:szCs w:val="21"/>
              </w:rPr>
            </w:pPr>
            <w:r w:rsidRPr="004D52FF">
              <w:rPr>
                <w:rFonts w:hAnsi="宋体" w:hint="eastAsia"/>
                <w:kern w:val="2"/>
                <w:sz w:val="21"/>
                <w:szCs w:val="21"/>
              </w:rPr>
              <w:t>GB 4943.1-2011条款5.2</w:t>
            </w:r>
          </w:p>
        </w:tc>
        <w:tc>
          <w:tcPr>
            <w:tcW w:w="709" w:type="dxa"/>
            <w:vAlign w:val="center"/>
          </w:tcPr>
          <w:p w:rsidR="004D52FF" w:rsidRPr="004D52FF" w:rsidRDefault="004D52FF" w:rsidP="005609CB">
            <w:pPr>
              <w:pStyle w:val="a3"/>
              <w:jc w:val="center"/>
              <w:rPr>
                <w:rFonts w:hAnsi="宋体"/>
                <w:kern w:val="2"/>
                <w:sz w:val="21"/>
                <w:szCs w:val="21"/>
              </w:rPr>
            </w:pPr>
            <w:r w:rsidRPr="004D52FF">
              <w:rPr>
                <w:rFonts w:hAnsi="宋体" w:hint="eastAsia"/>
                <w:kern w:val="2"/>
                <w:sz w:val="21"/>
                <w:szCs w:val="21"/>
              </w:rPr>
              <w:t>●</w:t>
            </w:r>
          </w:p>
        </w:tc>
        <w:tc>
          <w:tcPr>
            <w:tcW w:w="952" w:type="dxa"/>
            <w:vAlign w:val="center"/>
          </w:tcPr>
          <w:p w:rsidR="004D52FF" w:rsidRDefault="004D52FF" w:rsidP="005609CB">
            <w:pPr>
              <w:pStyle w:val="a3"/>
              <w:jc w:val="center"/>
              <w:rPr>
                <w:rFonts w:hAnsi="宋体"/>
                <w:bCs/>
                <w:sz w:val="21"/>
                <w:szCs w:val="21"/>
              </w:rPr>
            </w:pPr>
          </w:p>
        </w:tc>
      </w:tr>
      <w:tr w:rsidR="004D52FF" w:rsidTr="004D52FF">
        <w:trPr>
          <w:cantSplit/>
          <w:jc w:val="center"/>
        </w:trPr>
        <w:tc>
          <w:tcPr>
            <w:tcW w:w="713" w:type="dxa"/>
            <w:vAlign w:val="center"/>
          </w:tcPr>
          <w:p w:rsidR="004D52FF" w:rsidRPr="004D52FF" w:rsidRDefault="004D52FF" w:rsidP="005609CB">
            <w:pPr>
              <w:pStyle w:val="a3"/>
              <w:jc w:val="center"/>
              <w:rPr>
                <w:rFonts w:hAnsi="宋体"/>
                <w:kern w:val="2"/>
                <w:sz w:val="21"/>
                <w:szCs w:val="21"/>
              </w:rPr>
            </w:pPr>
            <w:r w:rsidRPr="004D52FF">
              <w:rPr>
                <w:rFonts w:hAnsi="宋体"/>
                <w:kern w:val="2"/>
                <w:sz w:val="21"/>
                <w:szCs w:val="21"/>
              </w:rPr>
              <w:t>10</w:t>
            </w:r>
          </w:p>
        </w:tc>
        <w:tc>
          <w:tcPr>
            <w:tcW w:w="1919" w:type="dxa"/>
            <w:vAlign w:val="center"/>
          </w:tcPr>
          <w:p w:rsidR="004D52FF" w:rsidRPr="004D52FF" w:rsidRDefault="004D52FF" w:rsidP="003B1175">
            <w:pPr>
              <w:pStyle w:val="a3"/>
              <w:jc w:val="left"/>
              <w:rPr>
                <w:rFonts w:hAnsi="宋体"/>
                <w:kern w:val="2"/>
                <w:sz w:val="21"/>
                <w:szCs w:val="21"/>
              </w:rPr>
            </w:pPr>
            <w:r w:rsidRPr="004D52FF">
              <w:rPr>
                <w:rFonts w:hAnsi="宋体" w:hint="eastAsia"/>
                <w:kern w:val="2"/>
                <w:sz w:val="21"/>
                <w:szCs w:val="21"/>
              </w:rPr>
              <w:t>传导连续骚扰</w:t>
            </w:r>
          </w:p>
        </w:tc>
        <w:tc>
          <w:tcPr>
            <w:tcW w:w="2268" w:type="dxa"/>
            <w:vAlign w:val="center"/>
          </w:tcPr>
          <w:p w:rsidR="004D52FF" w:rsidRPr="004D52FF" w:rsidRDefault="004D52FF" w:rsidP="004D52FF">
            <w:pPr>
              <w:pStyle w:val="a3"/>
              <w:jc w:val="center"/>
              <w:rPr>
                <w:rFonts w:hAnsi="宋体"/>
                <w:kern w:val="2"/>
                <w:sz w:val="21"/>
                <w:szCs w:val="21"/>
              </w:rPr>
            </w:pPr>
            <w:r w:rsidRPr="004D52FF">
              <w:rPr>
                <w:rFonts w:hAnsi="宋体"/>
                <w:kern w:val="2"/>
                <w:sz w:val="21"/>
                <w:szCs w:val="21"/>
              </w:rPr>
              <w:t>GSM：GB/T 22450.1</w:t>
            </w:r>
            <w:r w:rsidRPr="004D52FF">
              <w:rPr>
                <w:rFonts w:hAnsi="宋体" w:hint="eastAsia"/>
                <w:kern w:val="2"/>
                <w:sz w:val="21"/>
                <w:szCs w:val="21"/>
              </w:rPr>
              <w:t>条款</w:t>
            </w:r>
            <w:r w:rsidRPr="004D52FF">
              <w:rPr>
                <w:rFonts w:hAnsi="宋体"/>
                <w:kern w:val="2"/>
                <w:sz w:val="21"/>
                <w:szCs w:val="21"/>
              </w:rPr>
              <w:t>7.7</w:t>
            </w:r>
          </w:p>
          <w:p w:rsidR="004D52FF" w:rsidRPr="004D52FF" w:rsidRDefault="004D52FF" w:rsidP="004D52FF">
            <w:pPr>
              <w:pStyle w:val="a3"/>
              <w:jc w:val="center"/>
              <w:rPr>
                <w:rFonts w:hAnsi="宋体"/>
                <w:kern w:val="2"/>
                <w:sz w:val="21"/>
                <w:szCs w:val="21"/>
              </w:rPr>
            </w:pPr>
            <w:r w:rsidRPr="004D52FF">
              <w:rPr>
                <w:rFonts w:hAnsi="宋体"/>
                <w:kern w:val="2"/>
                <w:sz w:val="21"/>
                <w:szCs w:val="21"/>
              </w:rPr>
              <w:t xml:space="preserve"> CDMA：GB/T19484.1 条款8.6</w:t>
            </w:r>
          </w:p>
          <w:p w:rsidR="004D52FF" w:rsidRPr="004D52FF" w:rsidRDefault="004D52FF" w:rsidP="004D52FF">
            <w:pPr>
              <w:pStyle w:val="a3"/>
              <w:jc w:val="center"/>
              <w:rPr>
                <w:rFonts w:hAnsi="宋体"/>
                <w:kern w:val="2"/>
                <w:sz w:val="21"/>
                <w:szCs w:val="21"/>
              </w:rPr>
            </w:pPr>
            <w:r w:rsidRPr="004D52FF">
              <w:rPr>
                <w:rFonts w:hAnsi="宋体"/>
                <w:kern w:val="2"/>
                <w:sz w:val="21"/>
                <w:szCs w:val="21"/>
              </w:rPr>
              <w:t>WCDMA：YD/T 1595.1条款8.6</w:t>
            </w:r>
          </w:p>
          <w:p w:rsidR="004D52FF" w:rsidRPr="004D52FF" w:rsidRDefault="004D52FF" w:rsidP="004D52FF">
            <w:pPr>
              <w:pStyle w:val="a3"/>
              <w:jc w:val="center"/>
              <w:rPr>
                <w:rFonts w:hAnsi="宋体"/>
                <w:kern w:val="2"/>
                <w:sz w:val="21"/>
                <w:szCs w:val="21"/>
              </w:rPr>
            </w:pPr>
            <w:r w:rsidRPr="004D52FF">
              <w:rPr>
                <w:rFonts w:hAnsi="宋体"/>
                <w:kern w:val="2"/>
                <w:sz w:val="21"/>
                <w:szCs w:val="21"/>
              </w:rPr>
              <w:t>TD-SCDMA：YD/T 1592.1条款8.6</w:t>
            </w:r>
          </w:p>
          <w:p w:rsidR="004D52FF" w:rsidRPr="004D52FF" w:rsidRDefault="004D52FF" w:rsidP="00992CDC">
            <w:pPr>
              <w:pStyle w:val="a3"/>
              <w:jc w:val="center"/>
              <w:rPr>
                <w:rFonts w:hAnsi="宋体"/>
                <w:kern w:val="2"/>
                <w:sz w:val="21"/>
                <w:szCs w:val="21"/>
              </w:rPr>
            </w:pPr>
            <w:r w:rsidRPr="004D52FF">
              <w:rPr>
                <w:rFonts w:hAnsi="宋体"/>
                <w:kern w:val="2"/>
                <w:sz w:val="21"/>
                <w:szCs w:val="21"/>
              </w:rPr>
              <w:t>TD-LTE：YD/T 2583.14条款8.</w:t>
            </w:r>
            <w:r w:rsidR="00992CDC">
              <w:rPr>
                <w:rFonts w:hAnsi="宋体" w:hint="eastAsia"/>
                <w:kern w:val="2"/>
                <w:sz w:val="21"/>
                <w:szCs w:val="21"/>
              </w:rPr>
              <w:t>4</w:t>
            </w:r>
          </w:p>
        </w:tc>
        <w:tc>
          <w:tcPr>
            <w:tcW w:w="2552" w:type="dxa"/>
            <w:vAlign w:val="center"/>
          </w:tcPr>
          <w:p w:rsidR="004D52FF" w:rsidRPr="004D52FF" w:rsidRDefault="004D52FF" w:rsidP="005609CB">
            <w:pPr>
              <w:pStyle w:val="a3"/>
              <w:jc w:val="center"/>
              <w:rPr>
                <w:rFonts w:hAnsi="宋体"/>
                <w:kern w:val="2"/>
                <w:sz w:val="21"/>
                <w:szCs w:val="21"/>
              </w:rPr>
            </w:pPr>
            <w:r w:rsidRPr="004D52FF">
              <w:rPr>
                <w:rFonts w:hAnsi="宋体"/>
                <w:kern w:val="2"/>
                <w:sz w:val="21"/>
                <w:szCs w:val="21"/>
              </w:rPr>
              <w:t>GSM：GB/T 22450.1</w:t>
            </w:r>
            <w:r w:rsidRPr="004D52FF">
              <w:rPr>
                <w:rFonts w:hAnsi="宋体" w:hint="eastAsia"/>
                <w:kern w:val="2"/>
                <w:sz w:val="21"/>
                <w:szCs w:val="21"/>
              </w:rPr>
              <w:t>条款</w:t>
            </w:r>
            <w:r w:rsidRPr="004D52FF">
              <w:rPr>
                <w:rFonts w:hAnsi="宋体"/>
                <w:kern w:val="2"/>
                <w:sz w:val="21"/>
                <w:szCs w:val="21"/>
              </w:rPr>
              <w:t>7.7</w:t>
            </w:r>
          </w:p>
          <w:p w:rsidR="004D52FF" w:rsidRPr="004D52FF" w:rsidRDefault="004D52FF" w:rsidP="005609CB">
            <w:pPr>
              <w:pStyle w:val="a3"/>
              <w:jc w:val="center"/>
              <w:rPr>
                <w:rFonts w:hAnsi="宋体"/>
                <w:kern w:val="2"/>
                <w:sz w:val="21"/>
                <w:szCs w:val="21"/>
              </w:rPr>
            </w:pPr>
            <w:r w:rsidRPr="004D52FF">
              <w:rPr>
                <w:rFonts w:hAnsi="宋体"/>
                <w:kern w:val="2"/>
                <w:sz w:val="21"/>
                <w:szCs w:val="21"/>
              </w:rPr>
              <w:t xml:space="preserve"> CDMA：GB/T19484.1 条款8.6</w:t>
            </w:r>
          </w:p>
          <w:p w:rsidR="004D52FF" w:rsidRPr="004D52FF" w:rsidRDefault="004D52FF" w:rsidP="005609CB">
            <w:pPr>
              <w:pStyle w:val="a3"/>
              <w:jc w:val="center"/>
              <w:rPr>
                <w:rFonts w:hAnsi="宋体"/>
                <w:kern w:val="2"/>
                <w:sz w:val="21"/>
                <w:szCs w:val="21"/>
              </w:rPr>
            </w:pPr>
            <w:r w:rsidRPr="004D52FF">
              <w:rPr>
                <w:rFonts w:hAnsi="宋体"/>
                <w:kern w:val="2"/>
                <w:sz w:val="21"/>
                <w:szCs w:val="21"/>
              </w:rPr>
              <w:t>WCDMA：YD/T 1595.1条款8.6</w:t>
            </w:r>
          </w:p>
          <w:p w:rsidR="004D52FF" w:rsidRPr="004D52FF" w:rsidRDefault="004D52FF" w:rsidP="005609CB">
            <w:pPr>
              <w:pStyle w:val="a3"/>
              <w:jc w:val="center"/>
              <w:rPr>
                <w:rFonts w:hAnsi="宋体"/>
                <w:kern w:val="2"/>
                <w:sz w:val="21"/>
                <w:szCs w:val="21"/>
              </w:rPr>
            </w:pPr>
            <w:r w:rsidRPr="004D52FF">
              <w:rPr>
                <w:rFonts w:hAnsi="宋体"/>
                <w:kern w:val="2"/>
                <w:sz w:val="21"/>
                <w:szCs w:val="21"/>
              </w:rPr>
              <w:t>TD-SCDMA：YD/T 1592.1条款8.6</w:t>
            </w:r>
          </w:p>
          <w:p w:rsidR="004D52FF" w:rsidRPr="004D52FF" w:rsidRDefault="004D52FF" w:rsidP="00992CDC">
            <w:pPr>
              <w:pStyle w:val="a3"/>
              <w:jc w:val="center"/>
              <w:rPr>
                <w:rFonts w:hAnsi="宋体"/>
                <w:kern w:val="2"/>
                <w:sz w:val="21"/>
                <w:szCs w:val="21"/>
              </w:rPr>
            </w:pPr>
            <w:r w:rsidRPr="004D52FF">
              <w:rPr>
                <w:rFonts w:hAnsi="宋体"/>
                <w:kern w:val="2"/>
                <w:sz w:val="21"/>
                <w:szCs w:val="21"/>
              </w:rPr>
              <w:t>TD-LTE：YD/T 2583.14条款8.</w:t>
            </w:r>
            <w:r w:rsidR="00992CDC">
              <w:rPr>
                <w:rFonts w:hAnsi="宋体" w:hint="eastAsia"/>
                <w:kern w:val="2"/>
                <w:sz w:val="21"/>
                <w:szCs w:val="21"/>
              </w:rPr>
              <w:t>4</w:t>
            </w:r>
          </w:p>
        </w:tc>
        <w:tc>
          <w:tcPr>
            <w:tcW w:w="709" w:type="dxa"/>
            <w:vAlign w:val="center"/>
          </w:tcPr>
          <w:p w:rsidR="004D52FF" w:rsidRPr="004D52FF" w:rsidRDefault="004D52FF" w:rsidP="005609CB">
            <w:pPr>
              <w:pStyle w:val="a3"/>
              <w:jc w:val="center"/>
              <w:rPr>
                <w:rFonts w:hAnsi="宋体"/>
                <w:kern w:val="2"/>
                <w:sz w:val="21"/>
                <w:szCs w:val="21"/>
              </w:rPr>
            </w:pPr>
          </w:p>
        </w:tc>
        <w:tc>
          <w:tcPr>
            <w:tcW w:w="952" w:type="dxa"/>
            <w:vAlign w:val="center"/>
          </w:tcPr>
          <w:p w:rsidR="004D52FF" w:rsidRDefault="004D52FF" w:rsidP="005609CB">
            <w:pPr>
              <w:pStyle w:val="a3"/>
              <w:jc w:val="center"/>
              <w:rPr>
                <w:rFonts w:hAnsi="宋体"/>
                <w:bCs/>
                <w:sz w:val="21"/>
                <w:szCs w:val="21"/>
              </w:rPr>
            </w:pPr>
            <w:r>
              <w:rPr>
                <w:rFonts w:hAnsi="宋体" w:hint="eastAsia"/>
                <w:bCs/>
                <w:sz w:val="21"/>
                <w:szCs w:val="21"/>
              </w:rPr>
              <w:t>●</w:t>
            </w:r>
          </w:p>
        </w:tc>
      </w:tr>
      <w:tr w:rsidR="004D52FF" w:rsidTr="004D52FF">
        <w:trPr>
          <w:cantSplit/>
          <w:jc w:val="center"/>
        </w:trPr>
        <w:tc>
          <w:tcPr>
            <w:tcW w:w="9113" w:type="dxa"/>
            <w:gridSpan w:val="6"/>
            <w:vAlign w:val="center"/>
          </w:tcPr>
          <w:p w:rsidR="004D52FF" w:rsidRDefault="004D52FF" w:rsidP="005609CB">
            <w:pPr>
              <w:rPr>
                <w:rFonts w:ascii="宋体" w:eastAsia="宋体" w:hAnsi="宋体" w:cs="宋体"/>
                <w:bCs/>
                <w:kern w:val="0"/>
                <w:sz w:val="21"/>
                <w:szCs w:val="21"/>
              </w:rPr>
            </w:pPr>
            <w:r>
              <w:rPr>
                <w:rFonts w:ascii="宋体" w:eastAsia="宋体" w:hAnsi="宋体" w:cs="宋体"/>
                <w:bCs/>
                <w:kern w:val="0"/>
                <w:sz w:val="21"/>
                <w:szCs w:val="21"/>
              </w:rPr>
              <w:t>a</w:t>
            </w:r>
            <w:r>
              <w:rPr>
                <w:rFonts w:ascii="宋体" w:eastAsia="宋体" w:hAnsi="宋体" w:cs="宋体" w:hint="eastAsia"/>
                <w:bCs/>
                <w:kern w:val="0"/>
                <w:sz w:val="21"/>
                <w:szCs w:val="21"/>
              </w:rPr>
              <w:t>极重要质量项目。</w:t>
            </w:r>
          </w:p>
          <w:p w:rsidR="004D52FF" w:rsidRDefault="004D52FF" w:rsidP="005609CB">
            <w:pPr>
              <w:pStyle w:val="a3"/>
              <w:rPr>
                <w:rFonts w:hAnsi="宋体" w:cs="宋体"/>
                <w:bCs/>
                <w:sz w:val="21"/>
                <w:szCs w:val="21"/>
              </w:rPr>
            </w:pPr>
            <w:r>
              <w:rPr>
                <w:rFonts w:hAnsi="宋体" w:cs="宋体"/>
                <w:bCs/>
                <w:sz w:val="21"/>
                <w:szCs w:val="21"/>
              </w:rPr>
              <w:t>b</w:t>
            </w:r>
            <w:r>
              <w:rPr>
                <w:rFonts w:hAnsi="宋体" w:cs="宋体" w:hint="eastAsia"/>
                <w:bCs/>
                <w:sz w:val="21"/>
                <w:szCs w:val="21"/>
              </w:rPr>
              <w:t>重要质量项目。</w:t>
            </w:r>
          </w:p>
        </w:tc>
      </w:tr>
    </w:tbl>
    <w:p w:rsidR="009F6869" w:rsidRDefault="009F6869" w:rsidP="009F6869">
      <w:pPr>
        <w:spacing w:line="600" w:lineRule="exact"/>
        <w:rPr>
          <w:rFonts w:ascii="仿宋_GB2312" w:hAnsi="仿宋_GB2312" w:cs="仿宋_GB2312"/>
          <w:szCs w:val="32"/>
        </w:rPr>
      </w:pPr>
      <w:r>
        <w:rPr>
          <w:rFonts w:ascii="仿宋_GB2312" w:hAnsi="仿宋_GB2312" w:cs="仿宋_GB2312" w:hint="eastAsia"/>
          <w:szCs w:val="32"/>
        </w:rPr>
        <w:t>注：①极重要质量项目是指直接涉及人体健康、使用安全的指标；重要质量项目是指产品涉及环保、能效、关键性能或特征值的指标。</w:t>
      </w:r>
    </w:p>
    <w:p w:rsidR="009F6869" w:rsidRDefault="009F6869" w:rsidP="009F6869">
      <w:pPr>
        <w:spacing w:line="600" w:lineRule="exact"/>
        <w:ind w:firstLineChars="200" w:firstLine="640"/>
        <w:rPr>
          <w:rFonts w:ascii="仿宋_GB2312" w:hAnsi="仿宋_GB2312" w:cs="仿宋_GB2312"/>
          <w:szCs w:val="32"/>
        </w:rPr>
      </w:pPr>
      <w:r>
        <w:rPr>
          <w:rFonts w:ascii="仿宋_GB2312" w:hAnsi="仿宋_GB2312" w:cs="仿宋_GB2312" w:hint="eastAsia"/>
          <w:szCs w:val="32"/>
        </w:rPr>
        <w:t>②上表所列检验项目是有关法律法规、标准等规定的，重点涉及健康、安全、节能、环保以及消费者、有关组织反映有质量问题的重要项目。</w:t>
      </w:r>
    </w:p>
    <w:p w:rsidR="009F6869" w:rsidRDefault="009F6869" w:rsidP="009F6869">
      <w:pPr>
        <w:spacing w:line="600" w:lineRule="exact"/>
        <w:rPr>
          <w:rFonts w:eastAsia="黑体" w:cs="黑体"/>
          <w:szCs w:val="32"/>
        </w:rPr>
      </w:pPr>
      <w:r>
        <w:rPr>
          <w:rFonts w:eastAsia="黑体" w:cs="黑体" w:hint="eastAsia"/>
          <w:szCs w:val="32"/>
        </w:rPr>
        <w:t xml:space="preserve">    </w:t>
      </w:r>
      <w:r>
        <w:rPr>
          <w:rFonts w:eastAsia="黑体" w:cs="黑体" w:hint="eastAsia"/>
          <w:szCs w:val="32"/>
        </w:rPr>
        <w:t>六、判定原则</w:t>
      </w:r>
    </w:p>
    <w:p w:rsidR="009F6869" w:rsidRDefault="009F6869" w:rsidP="009F6869">
      <w:pPr>
        <w:spacing w:line="600" w:lineRule="exac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szCs w:val="32"/>
        </w:rPr>
        <w:t>经检验，</w:t>
      </w:r>
      <w:r>
        <w:rPr>
          <w:rFonts w:ascii="仿宋_GB2312" w:hAnsi="仿宋_GB2312" w:cs="仿宋_GB2312" w:hint="eastAsia"/>
          <w:szCs w:val="32"/>
        </w:rPr>
        <w:t>所</w:t>
      </w:r>
      <w:r>
        <w:rPr>
          <w:rFonts w:ascii="仿宋_GB2312" w:hAnsi="仿宋_GB2312" w:cs="仿宋_GB2312"/>
          <w:szCs w:val="32"/>
        </w:rPr>
        <w:t>检验项目全部</w:t>
      </w:r>
      <w:r>
        <w:rPr>
          <w:rFonts w:ascii="仿宋_GB2312" w:hAnsi="仿宋_GB2312" w:cs="仿宋_GB2312" w:hint="eastAsia"/>
          <w:szCs w:val="32"/>
        </w:rPr>
        <w:t>符合标准要求</w:t>
      </w:r>
      <w:r>
        <w:rPr>
          <w:rFonts w:ascii="仿宋_GB2312" w:hAnsi="仿宋_GB2312" w:cs="仿宋_GB2312"/>
          <w:szCs w:val="32"/>
        </w:rPr>
        <w:t>，判定为被抽查产品</w:t>
      </w:r>
      <w:r>
        <w:rPr>
          <w:rFonts w:ascii="仿宋_GB2312" w:hAnsi="仿宋_GB2312" w:cs="仿宋_GB2312" w:hint="eastAsia"/>
          <w:szCs w:val="32"/>
        </w:rPr>
        <w:t>未发现不</w:t>
      </w:r>
      <w:r>
        <w:rPr>
          <w:rFonts w:ascii="仿宋_GB2312" w:hAnsi="仿宋_GB2312" w:cs="仿宋_GB2312"/>
          <w:szCs w:val="32"/>
        </w:rPr>
        <w:t>合格；检验项目中任一项或一项以上不合格，判定为被抽查产品不合格。其中，当产品存在A类项目不合格时，属于严重不合格。</w:t>
      </w:r>
    </w:p>
    <w:p w:rsidR="009F6869" w:rsidRDefault="009F6869" w:rsidP="009F6869">
      <w:pPr>
        <w:spacing w:line="600" w:lineRule="exact"/>
        <w:ind w:firstLineChars="200" w:firstLine="640"/>
        <w:rPr>
          <w:rFonts w:ascii="仿宋_GB2312" w:hAnsi="仿宋_GB2312" w:cs="仿宋_GB2312"/>
          <w:szCs w:val="32"/>
        </w:rPr>
      </w:pPr>
      <w:r>
        <w:rPr>
          <w:rFonts w:ascii="仿宋_GB2312" w:hAnsi="仿宋_GB2312" w:cs="仿宋_GB2312"/>
          <w:szCs w:val="32"/>
        </w:rPr>
        <w:t>若被检产品明示的质量要求高于本细则中检验项目依据的标准要求时，应按被检产品明示的质量要求判定。</w:t>
      </w:r>
    </w:p>
    <w:p w:rsidR="009F6869" w:rsidRDefault="009F6869" w:rsidP="009F6869">
      <w:pPr>
        <w:spacing w:line="600" w:lineRule="exact"/>
        <w:ind w:firstLineChars="200" w:firstLine="640"/>
        <w:rPr>
          <w:rFonts w:ascii="仿宋_GB2312" w:hAnsi="仿宋_GB2312" w:cs="仿宋_GB2312"/>
          <w:szCs w:val="32"/>
        </w:rPr>
      </w:pPr>
      <w:r>
        <w:rPr>
          <w:rFonts w:ascii="仿宋_GB2312" w:hAnsi="仿宋_GB2312" w:cs="仿宋_GB2312"/>
          <w:szCs w:val="32"/>
        </w:rPr>
        <w:t>若被检产品明示的质量要求低于本细则中检验项目依据的强制性标准要求时，应按照强制性标准要求判定。</w:t>
      </w:r>
    </w:p>
    <w:p w:rsidR="009F6869" w:rsidRDefault="009F6869" w:rsidP="009F6869">
      <w:pPr>
        <w:spacing w:line="600" w:lineRule="exact"/>
        <w:ind w:firstLineChars="200" w:firstLine="640"/>
        <w:rPr>
          <w:rFonts w:ascii="仿宋_GB2312" w:hAnsi="仿宋_GB2312" w:cs="仿宋_GB2312"/>
          <w:szCs w:val="32"/>
        </w:rPr>
      </w:pPr>
      <w:r>
        <w:rPr>
          <w:rFonts w:ascii="仿宋_GB2312" w:hAnsi="仿宋_GB2312" w:cs="仿宋_GB2312"/>
          <w:szCs w:val="32"/>
        </w:rPr>
        <w:t>若被检产品明示的质量要求低于或包含本细则中检验项目依据的推荐性标准要求时，应以被检产品明示的质量要求判定，但应在检验报告备注中进行说明。</w:t>
      </w:r>
    </w:p>
    <w:p w:rsidR="009F6869" w:rsidRDefault="009F6869" w:rsidP="009F6869">
      <w:pPr>
        <w:spacing w:line="600" w:lineRule="exact"/>
        <w:ind w:firstLineChars="200" w:firstLine="640"/>
        <w:rPr>
          <w:rFonts w:ascii="仿宋_GB2312" w:hAnsi="仿宋_GB2312" w:cs="仿宋_GB2312"/>
          <w:szCs w:val="32"/>
        </w:rPr>
      </w:pPr>
      <w:r>
        <w:rPr>
          <w:rFonts w:ascii="仿宋_GB2312" w:hAnsi="仿宋_GB2312" w:cs="仿宋_GB2312"/>
          <w:szCs w:val="32"/>
        </w:rPr>
        <w:t>若被检产品明示的质量要求缺少本细则中检验项目依据的强制性标准要求时，应按照强制性标准要求判定。</w:t>
      </w:r>
    </w:p>
    <w:p w:rsidR="009F6869" w:rsidRDefault="009F6869" w:rsidP="009F6869">
      <w:pPr>
        <w:spacing w:line="600" w:lineRule="exact"/>
        <w:ind w:firstLineChars="200" w:firstLine="640"/>
        <w:rPr>
          <w:rFonts w:ascii="仿宋_GB2312" w:hAnsi="仿宋_GB2312" w:cs="仿宋_GB2312"/>
          <w:szCs w:val="32"/>
        </w:rPr>
      </w:pPr>
      <w:r>
        <w:rPr>
          <w:rFonts w:ascii="仿宋_GB2312" w:hAnsi="仿宋_GB2312" w:cs="仿宋_GB2312"/>
          <w:szCs w:val="32"/>
        </w:rPr>
        <w:t>若被检产品明示的质量要求缺少本细则中检验项目依据的推荐性标准要求时，该项目不参与判定，但应在检验报告备注中进行说明。</w:t>
      </w:r>
    </w:p>
    <w:p w:rsidR="00CA1A03" w:rsidRDefault="00CA1A03" w:rsidP="00CA1A03">
      <w:pPr>
        <w:widowControl/>
        <w:adjustRightInd w:val="0"/>
        <w:snapToGrid w:val="0"/>
        <w:spacing w:line="590" w:lineRule="exact"/>
        <w:ind w:firstLineChars="200" w:firstLine="640"/>
        <w:rPr>
          <w:rFonts w:eastAsia="黑体" w:cs="黑体"/>
          <w:szCs w:val="32"/>
        </w:rPr>
      </w:pPr>
      <w:r>
        <w:rPr>
          <w:rFonts w:eastAsia="黑体" w:cs="黑体" w:hint="eastAsia"/>
          <w:szCs w:val="32"/>
        </w:rPr>
        <w:t>七、本细则未明确的监督抽查抽样检验相关技术规范，均按照《产品质量监督抽查管理暂行办法》（国家市场监督管理总局第</w:t>
      </w:r>
      <w:r>
        <w:rPr>
          <w:rFonts w:eastAsia="黑体" w:cs="黑体" w:hint="eastAsia"/>
          <w:szCs w:val="32"/>
        </w:rPr>
        <w:t>18</w:t>
      </w:r>
      <w:r>
        <w:rPr>
          <w:rFonts w:eastAsia="黑体" w:cs="黑体" w:hint="eastAsia"/>
          <w:szCs w:val="32"/>
        </w:rPr>
        <w:t>号令）、《产品质量监督抽查抽样检验技术服务规范》（</w:t>
      </w:r>
      <w:r>
        <w:rPr>
          <w:rFonts w:eastAsia="黑体" w:cs="黑体" w:hint="eastAsia"/>
          <w:szCs w:val="32"/>
        </w:rPr>
        <w:t>T/GDAQI 020-2020</w:t>
      </w:r>
      <w:r>
        <w:rPr>
          <w:rFonts w:eastAsia="黑体" w:cs="黑体" w:hint="eastAsia"/>
          <w:szCs w:val="32"/>
        </w:rPr>
        <w:t>）规定执行。</w:t>
      </w:r>
    </w:p>
    <w:p w:rsidR="00CA1A03" w:rsidRDefault="00CA1A03" w:rsidP="00CA1A03">
      <w:pPr>
        <w:widowControl/>
        <w:adjustRightInd w:val="0"/>
        <w:snapToGrid w:val="0"/>
        <w:spacing w:line="590" w:lineRule="exact"/>
        <w:ind w:firstLineChars="200" w:firstLine="640"/>
        <w:rPr>
          <w:rFonts w:cs="仿宋_GB2312"/>
          <w:szCs w:val="32"/>
        </w:rPr>
      </w:pPr>
      <w:r>
        <w:rPr>
          <w:rFonts w:cs="仿宋_GB2312" w:hint="eastAsia"/>
          <w:szCs w:val="32"/>
        </w:rPr>
        <w:t>被抽样生产者、销售者对检验结论有异议的，应提出书面复检申请并阐明理由，向广州市市场监督管理局提出，由广州市市场监督管理局依法依规处理。</w:t>
      </w:r>
    </w:p>
    <w:p w:rsidR="00A61A0F" w:rsidRPr="00CA1A03" w:rsidRDefault="00A61A0F"/>
    <w:sectPr w:rsidR="00A61A0F" w:rsidRPr="00CA1A03" w:rsidSect="00BE6012">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6869"/>
    <w:rsid w:val="00064307"/>
    <w:rsid w:val="003B1175"/>
    <w:rsid w:val="003E0A6E"/>
    <w:rsid w:val="004D52FF"/>
    <w:rsid w:val="00570BBF"/>
    <w:rsid w:val="007D5650"/>
    <w:rsid w:val="00992CDC"/>
    <w:rsid w:val="009F6869"/>
    <w:rsid w:val="00A61A0F"/>
    <w:rsid w:val="00BE6012"/>
    <w:rsid w:val="00C52A4B"/>
    <w:rsid w:val="00CA1A03"/>
    <w:rsid w:val="00D153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86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uiPriority w:val="99"/>
    <w:semiHidden/>
    <w:qFormat/>
    <w:locked/>
    <w:rsid w:val="009F6869"/>
    <w:rPr>
      <w:rFonts w:ascii="宋体" w:eastAsia="宋体" w:hAnsi="Courier New" w:cs="Times New Roman"/>
      <w:kern w:val="0"/>
      <w:sz w:val="20"/>
      <w:szCs w:val="20"/>
    </w:rPr>
  </w:style>
  <w:style w:type="character" w:customStyle="1" w:styleId="Char0">
    <w:name w:val="页脚 Char"/>
    <w:basedOn w:val="a0"/>
    <w:link w:val="a4"/>
    <w:uiPriority w:val="99"/>
    <w:qFormat/>
    <w:rsid w:val="009F6869"/>
    <w:rPr>
      <w:sz w:val="18"/>
      <w:szCs w:val="18"/>
    </w:rPr>
  </w:style>
  <w:style w:type="paragraph" w:styleId="a4">
    <w:name w:val="footer"/>
    <w:basedOn w:val="a"/>
    <w:link w:val="Char0"/>
    <w:uiPriority w:val="99"/>
    <w:unhideWhenUsed/>
    <w:qFormat/>
    <w:rsid w:val="009F68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4"/>
    <w:uiPriority w:val="99"/>
    <w:semiHidden/>
    <w:rsid w:val="009F6869"/>
    <w:rPr>
      <w:rFonts w:ascii="Times New Roman" w:eastAsia="仿宋_GB2312" w:hAnsi="Times New Roman" w:cs="Times New Roman"/>
      <w:sz w:val="18"/>
      <w:szCs w:val="18"/>
    </w:rPr>
  </w:style>
  <w:style w:type="paragraph" w:styleId="a3">
    <w:name w:val="Plain Text"/>
    <w:basedOn w:val="a"/>
    <w:link w:val="Char"/>
    <w:uiPriority w:val="99"/>
    <w:semiHidden/>
    <w:qFormat/>
    <w:rsid w:val="009F6869"/>
    <w:rPr>
      <w:rFonts w:ascii="宋体" w:eastAsia="宋体" w:hAnsi="Courier New"/>
      <w:kern w:val="0"/>
      <w:sz w:val="20"/>
      <w:szCs w:val="20"/>
    </w:rPr>
  </w:style>
  <w:style w:type="character" w:customStyle="1" w:styleId="Char10">
    <w:name w:val="纯文本 Char1"/>
    <w:basedOn w:val="a0"/>
    <w:link w:val="a3"/>
    <w:uiPriority w:val="99"/>
    <w:semiHidden/>
    <w:rsid w:val="009F6869"/>
    <w:rPr>
      <w:rFonts w:ascii="宋体" w:eastAsia="宋体" w:hAnsi="Courier New" w:cs="Courier New"/>
      <w:szCs w:val="21"/>
    </w:rPr>
  </w:style>
  <w:style w:type="paragraph" w:customStyle="1" w:styleId="a5">
    <w:name w:val="段"/>
    <w:qFormat/>
    <w:rsid w:val="009F6869"/>
    <w:pPr>
      <w:tabs>
        <w:tab w:val="center" w:pos="4201"/>
        <w:tab w:val="right" w:leader="dot" w:pos="9298"/>
      </w:tabs>
      <w:autoSpaceDE w:val="0"/>
      <w:autoSpaceDN w:val="0"/>
      <w:ind w:firstLineChars="200" w:firstLine="420"/>
      <w:jc w:val="both"/>
    </w:pPr>
    <w:rPr>
      <w:rFonts w:ascii="宋体" w:eastAsia="宋体" w:hAnsi="Calibri" w:cs="Times New Roman"/>
    </w:rPr>
  </w:style>
  <w:style w:type="paragraph" w:customStyle="1" w:styleId="a6">
    <w:name w:val="列项·"/>
    <w:uiPriority w:val="99"/>
    <w:qFormat/>
    <w:rsid w:val="009F6869"/>
    <w:pPr>
      <w:tabs>
        <w:tab w:val="left" w:pos="840"/>
      </w:tabs>
      <w:ind w:left="420"/>
      <w:jc w:val="both"/>
    </w:pPr>
    <w:rPr>
      <w:rFonts w:ascii="宋体" w:eastAsia="宋体" w:hAnsi="Times New Roman" w:cs="Times New Roman"/>
      <w:kern w:val="0"/>
      <w:szCs w:val="20"/>
    </w:rPr>
  </w:style>
  <w:style w:type="paragraph" w:customStyle="1" w:styleId="1">
    <w:name w:val="列出段落1"/>
    <w:basedOn w:val="a"/>
    <w:uiPriority w:val="34"/>
    <w:qFormat/>
    <w:rsid w:val="003B1175"/>
    <w:pPr>
      <w:ind w:firstLineChars="200" w:firstLine="420"/>
    </w:pPr>
    <w:rPr>
      <w:sz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GQI</dc:creator>
  <cp:lastModifiedBy>GQI</cp:lastModifiedBy>
  <cp:revision>4</cp:revision>
  <dcterms:created xsi:type="dcterms:W3CDTF">2021-04-28T05:57:00Z</dcterms:created>
  <dcterms:modified xsi:type="dcterms:W3CDTF">2021-04-29T05:42:00Z</dcterms:modified>
</cp:coreProperties>
</file>