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adjustRightInd w:val="0"/>
        <w:spacing w:line="600" w:lineRule="exact"/>
        <w:rPr>
          <w:rFonts w:hint="eastAsia" w:ascii="Times New Roman" w:hAnsi="Times New Roman" w:eastAsia="黑体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7"/>
        <w:spacing w:line="240" w:lineRule="auto"/>
        <w:jc w:val="center"/>
        <w:outlineLvl w:val="9"/>
        <w:rPr>
          <w:rFonts w:hint="default" w:ascii="Times New Roman" w:hAnsi="Times New Roman" w:eastAsia="方正小标宋简体" w:cs="Times New Roman"/>
          <w:w w:val="1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44"/>
          <w:szCs w:val="44"/>
        </w:rPr>
        <w:t>2021年上半年全市各行业市场主体分布</w:t>
      </w:r>
    </w:p>
    <w:p>
      <w:pPr>
        <w:pStyle w:val="7"/>
        <w:spacing w:line="240" w:lineRule="auto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44"/>
          <w:szCs w:val="44"/>
        </w:rPr>
        <w:t>情况表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（不含农民专业合作社）</w:t>
      </w:r>
    </w:p>
    <w:tbl>
      <w:tblPr>
        <w:tblStyle w:val="4"/>
        <w:tblW w:w="9130" w:type="dxa"/>
        <w:jc w:val="center"/>
        <w:tblInd w:w="-39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3"/>
        <w:gridCol w:w="1112"/>
        <w:gridCol w:w="791"/>
        <w:gridCol w:w="791"/>
        <w:gridCol w:w="846"/>
        <w:gridCol w:w="814"/>
        <w:gridCol w:w="800"/>
        <w:gridCol w:w="902"/>
        <w:gridCol w:w="9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vMerge w:val="restart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13335</wp:posOffset>
                      </wp:positionV>
                      <wp:extent cx="1374775" cy="764540"/>
                      <wp:effectExtent l="2540" t="4445" r="13335" b="1206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775" cy="764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0.4pt;margin-top:1.05pt;height:60.2pt;width:108.25pt;z-index:251658240;mso-width-relative:page;mso-height-relative:page;" filled="f" stroked="t" coordsize="21600,21600" o:gfxdata="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ZAnbdQAAAAG&#10;AQAADwAAAAAAAAABACAAAAAiAAAAZHJzL2Rvd25yZXYueG1sUEsBAhQAFAAAAAgAh07iQH345lfn&#10;AQAAowMAAA4AAAAAAAAAAQAgAAAAIw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项目</w:t>
            </w:r>
          </w:p>
          <w:p>
            <w:pPr>
              <w:pStyle w:val="9"/>
              <w:widowControl/>
              <w:spacing w:line="300" w:lineRule="exact"/>
              <w:ind w:firstLine="360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行业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实有登记</w:t>
            </w: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1-6月新登记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vMerge w:val="continue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户数</w:t>
            </w:r>
          </w:p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（户）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占比</w:t>
            </w:r>
          </w:p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（％）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2020年同比</w:t>
            </w:r>
          </w:p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(±％)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2019年同比</w:t>
            </w:r>
          </w:p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(±％)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户数</w:t>
            </w:r>
          </w:p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（户）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占比</w:t>
            </w:r>
          </w:p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（％）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2020年同比</w:t>
            </w:r>
          </w:p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(±％)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2019年同比</w:t>
            </w:r>
          </w:p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(±％)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合  计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2887565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100.00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17.15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32.48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360100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100.00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60.71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62.47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农、林、牧、渔业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12,436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0.43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7.71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16.49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823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0.23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10.62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-3.74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采矿业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114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0.004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26.67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50.00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11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0.003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37.50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83.33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制造业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174,761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6.05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2.97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6.15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8505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2.36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5.16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7.02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电力、热力、燃气及水生产和供应业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1,367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0.05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17.84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38.64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88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0.02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-47.93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120.00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建筑业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66,435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2.30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6.58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20.43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7019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1.95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34.67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31.94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批发和零售业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1,430,735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49.55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15.07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30.85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152714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42.41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29.65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47.94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交通运输、仓储和邮政业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48,251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1.67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15.36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26.98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3724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1.03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5.74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14.58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住宿和餐饮业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211,589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7.33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11.07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23.78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20797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5.78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18.45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31.07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信息传输、软件和信息技术服务业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155,079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5.37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41.47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83.39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34080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9.46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208.61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35.99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金融业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8,750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0.30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-6.06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-7.14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104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0.03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-26.24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-75.12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房地产业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43,027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1.49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11.42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21.61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4530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1.26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72.31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40.99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租赁和商务服务业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321,072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11.12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39.19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59.23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88574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24.60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267.25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269.29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科学研究和技术服务业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221,417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7.67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10.94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24.41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21744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6.04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32.60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5.17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水利、环境和公共设施管理业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2,263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0.08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9.22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29.61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223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0.06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6.19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40.25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居民服务、修理和其他服务业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102,750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3.56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13.75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22.26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8472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2.35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59.01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教育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4,829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0.17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4.80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5.85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322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0.09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48.39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17.52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卫生和社会工作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27,466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0.95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144.10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558.50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2111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0.59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-68.78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338.88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文化、体育和娱乐业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55,216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1.91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14.50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31.09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6258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1.74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51.56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22.83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73" w:type="dxa"/>
            <w:shd w:val="clear" w:color="auto" w:fill="FFFFFF"/>
            <w:noWrap w:val="0"/>
            <w:vAlign w:val="center"/>
          </w:tcPr>
          <w:p>
            <w:pPr>
              <w:pStyle w:val="9"/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其他</w:t>
            </w:r>
          </w:p>
        </w:tc>
        <w:tc>
          <w:tcPr>
            <w:tcW w:w="1112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0.0003</w:t>
            </w:r>
          </w:p>
        </w:tc>
        <w:tc>
          <w:tcPr>
            <w:tcW w:w="7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100.00</w:t>
            </w:r>
          </w:p>
        </w:tc>
        <w:tc>
          <w:tcPr>
            <w:tcW w:w="846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700.00</w:t>
            </w:r>
          </w:p>
        </w:tc>
        <w:tc>
          <w:tcPr>
            <w:tcW w:w="814" w:type="dxa"/>
            <w:shd w:val="solid" w:color="FFFFFF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0.0003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shd w:val="clear" w:color="auto" w:fill="FFFFFF"/>
              </w:rPr>
              <w:t>---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shd w:val="clear" w:color="auto" w:fill="FFFFFF"/>
              </w:rPr>
              <w:t>---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D72F6"/>
    <w:rsid w:val="52E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 New New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customStyle="1" w:styleId="7">
    <w:name w:val="p22 New"/>
    <w:basedOn w:val="8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8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9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2021-08-16T02:12:00Z</dcterms:created>
  <dc:creator>董大宾</dc:creator>
  <cp:lastModifiedBy>董大宾</cp:lastModifiedBy>
  <dcterms:modified xsi:type="dcterms:W3CDTF">2021-08-16T02:12:50Z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