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新冠肺炎疫情防控期间药品零售企业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监督检查工作指引（第六版）</w:t>
      </w:r>
    </w:p>
    <w:p>
      <w:pPr>
        <w:spacing w:line="600" w:lineRule="exact"/>
        <w:ind w:firstLine="220" w:firstLineChars="200"/>
        <w:rPr>
          <w:rFonts w:ascii="Times New Roman" w:hAnsi="Times New Roman" w:eastAsia="仿宋_GB2312"/>
          <w:color w:val="000000"/>
          <w:sz w:val="11"/>
          <w:szCs w:val="11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一、企业应取得有效的《药品经营许可证》，并在经营场所的显著位置悬挂《药品经营许可证》及执业药师等从业人员的从业证明，公布药品监督管理部门的监督电话；店堂内的广告宣传应符合国家相关规定。</w:t>
      </w:r>
    </w:p>
    <w:p>
      <w:pPr>
        <w:spacing w:line="600" w:lineRule="exact"/>
        <w:ind w:firstLine="64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</w:t>
      </w:r>
      <w:r>
        <w:rPr>
          <w:rFonts w:ascii="Times New Roman" w:hAnsi="Times New Roman" w:eastAsia="仿宋_GB2312"/>
          <w:color w:val="000000"/>
          <w:sz w:val="32"/>
          <w:szCs w:val="32"/>
        </w:rPr>
        <w:t>员工每天上班应测体温，全程佩戴口罩。对进入店内人员必须佩戴口罩、测体温、扫药店专属“通行健康码”，体温超过37.3℃或显示“黄码”、“红码”不得入店购药。开具转诊单，指引其前往医疗机构就诊，并在2小时内向发热门诊报告，做好记录。</w:t>
      </w:r>
      <w:r>
        <w:rPr>
          <w:rFonts w:ascii="Times New Roman" w:hAnsi="Times New Roman" w:eastAsia="仿宋_GB2312"/>
          <w:color w:val="000000"/>
          <w:sz w:val="32"/>
          <w:szCs w:val="32"/>
        </w:rPr>
        <w:br w:type="textWrapping"/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三、药店应张贴“六公示”内容（药店专属“通行健康码”及发热门诊信息、需实名登记报告药品目录、需实名购买指定药品的温馨提示、购买指定药品英文提示、投诉举报电话）。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四、在</w:t>
      </w:r>
      <w:r>
        <w:rPr>
          <w:rFonts w:ascii="Times New Roman" w:hAnsi="Times New Roman" w:eastAsia="仿宋"/>
          <w:sz w:val="32"/>
          <w:szCs w:val="32"/>
        </w:rPr>
        <w:t>广东智慧药监平台信息登记管理系统</w:t>
      </w:r>
      <w:r>
        <w:rPr>
          <w:rFonts w:ascii="Times New Roman" w:hAnsi="Times New Roman" w:eastAsia="仿宋_GB2312"/>
          <w:color w:val="000000"/>
          <w:sz w:val="32"/>
          <w:szCs w:val="32"/>
        </w:rPr>
        <w:t>上传销售</w:t>
      </w:r>
      <w:r>
        <w:rPr>
          <w:rFonts w:ascii="Times New Roman" w:hAnsi="Times New Roman" w:eastAsia="仿宋_GB2312"/>
          <w:sz w:val="32"/>
          <w:szCs w:val="32"/>
        </w:rPr>
        <w:t>《疫情期间需登记报告药品目录》内</w:t>
      </w:r>
      <w:r>
        <w:rPr>
          <w:rFonts w:ascii="Times New Roman" w:hAnsi="Times New Roman" w:eastAsia="仿宋_GB2312"/>
          <w:color w:val="000000"/>
          <w:sz w:val="32"/>
          <w:szCs w:val="32"/>
        </w:rPr>
        <w:t>药品人员信息，填写项目要齐全。</w:t>
      </w:r>
    </w:p>
    <w:p>
      <w:pPr>
        <w:spacing w:line="600" w:lineRule="exact"/>
        <w:ind w:firstLine="64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五、企业采购药品应向供货单位</w:t>
      </w:r>
      <w:r>
        <w:rPr>
          <w:rFonts w:ascii="Times New Roman" w:hAnsi="Times New Roman" w:eastAsia="仿宋_GB2312"/>
          <w:color w:val="000000"/>
          <w:sz w:val="32"/>
          <w:szCs w:val="32"/>
        </w:rPr>
        <w:t>索取发票，做到票、帐、货、款相符。连锁门店应执行“三统一”规定，由连锁总部统一购进；企业应安装并使用符合药品GSP要求的计算机系统，定期上传药品购销存数据。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六、企业应按规定销售处方药，处方审核人员不在岗时应当挂牌告知，并停止销售处方药和甲类非处方药。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七、冷藏、冷冻药品应放置在冷藏设备中，按规定对温度进行监测和记录，并保证存放温度符合要求。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八、企业是否存在其他违反《药品管理法》等法律法规的情形。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26759"/>
    <w:rsid w:val="5062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2021-08-24T02:19:00Z</dcterms:created>
  <dc:creator>董大宾</dc:creator>
  <cp:lastModifiedBy>董大宾</cp:lastModifiedBy>
  <dcterms:modified xsi:type="dcterms:W3CDTF">2021-08-24T02:19:29Z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