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textAlignment w:val="baseline"/>
        <w:rPr>
          <w:rFonts w:hint="eastAsia" w:ascii="Times New Roman" w:hAnsi="Times New Roman" w:eastAsia="方正仿宋_GBK" w:cs="方正仿宋_GBK"/>
          <w:color w:val="000000"/>
          <w:szCs w:val="32"/>
          <w:lang w:val="en-US" w:eastAsia="zh-CN"/>
        </w:rPr>
      </w:pPr>
      <w:bookmarkStart w:id="1" w:name="_GoBack"/>
      <w:bookmarkEnd w:id="1"/>
      <w:bookmarkStart w:id="0" w:name="Content"/>
      <w:r>
        <w:rPr>
          <w:rFonts w:hint="eastAsia" w:ascii="方正黑体_GBK" w:hAnsi="方正黑体_GBK" w:eastAsia="方正黑体_GBK" w:cs="方正黑体_GBK"/>
          <w:color w:val="000000"/>
          <w:szCs w:val="32"/>
          <w:lang w:eastAsia="zh-CN"/>
        </w:rPr>
        <w:t>附件</w:t>
      </w:r>
      <w:r>
        <w:rPr>
          <w:rFonts w:hint="eastAsia" w:ascii="Times New Roman" w:hAnsi="Times New Roman" w:eastAsia="方正仿宋_GBK" w:cs="方正仿宋_GBK"/>
          <w:color w:val="000000"/>
          <w:szCs w:val="32"/>
          <w:lang w:val="en-US" w:eastAsia="zh-CN"/>
        </w:rPr>
        <w:t>2</w:t>
      </w:r>
    </w:p>
    <w:p>
      <w:pPr>
        <w:widowControl/>
        <w:spacing w:line="720" w:lineRule="exact"/>
        <w:jc w:val="center"/>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t>广州市</w:t>
      </w:r>
      <w:r>
        <w:rPr>
          <w:rFonts w:hint="eastAsia" w:ascii="方正小标宋_GBK" w:hAnsi="Times New Roman" w:eastAsia="方正小标宋_GBK" w:cs="Times New Roman"/>
          <w:sz w:val="44"/>
          <w:szCs w:val="44"/>
          <w:lang w:val="en-US" w:eastAsia="zh-CN"/>
        </w:rPr>
        <w:t>市场监督管理局</w:t>
      </w:r>
      <w:r>
        <w:rPr>
          <w:rFonts w:ascii="方正小标宋_GBK" w:hAnsi="Times New Roman" w:eastAsia="方正小标宋_GBK" w:cs="Times New Roman"/>
          <w:sz w:val="44"/>
          <w:szCs w:val="44"/>
        </w:rPr>
        <w:t>20</w:t>
      </w:r>
      <w:r>
        <w:rPr>
          <w:rFonts w:hint="eastAsia" w:ascii="方正小标宋_GBK" w:hAnsi="Times New Roman" w:eastAsia="方正小标宋_GBK" w:cs="Times New Roman"/>
          <w:sz w:val="44"/>
          <w:szCs w:val="44"/>
          <w:lang w:val="en-US" w:eastAsia="zh-CN"/>
        </w:rPr>
        <w:t>21</w:t>
      </w:r>
      <w:r>
        <w:rPr>
          <w:rFonts w:ascii="方正小标宋_GBK" w:hAnsi="Times New Roman" w:eastAsia="方正小标宋_GBK" w:cs="Times New Roman"/>
          <w:sz w:val="44"/>
          <w:szCs w:val="44"/>
        </w:rPr>
        <w:t>年度行政许可实施和监督管理情况表</w:t>
      </w:r>
    </w:p>
    <w:tbl>
      <w:tblPr>
        <w:tblStyle w:val="4"/>
        <w:tblW w:w="15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140"/>
        <w:gridCol w:w="1435"/>
        <w:gridCol w:w="687"/>
        <w:gridCol w:w="733"/>
        <w:gridCol w:w="720"/>
        <w:gridCol w:w="720"/>
        <w:gridCol w:w="452"/>
        <w:gridCol w:w="720"/>
        <w:gridCol w:w="730"/>
        <w:gridCol w:w="642"/>
        <w:gridCol w:w="730"/>
        <w:gridCol w:w="745"/>
        <w:gridCol w:w="540"/>
        <w:gridCol w:w="462"/>
        <w:gridCol w:w="473"/>
        <w:gridCol w:w="682"/>
        <w:gridCol w:w="645"/>
        <w:gridCol w:w="488"/>
        <w:gridCol w:w="550"/>
        <w:gridCol w:w="493"/>
        <w:gridCol w:w="487"/>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62" w:type="dxa"/>
            <w:vMerge w:val="restart"/>
            <w:noWrap/>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序号</w:t>
            </w:r>
          </w:p>
        </w:tc>
        <w:tc>
          <w:tcPr>
            <w:tcW w:w="1140" w:type="dxa"/>
            <w:vMerge w:val="restart"/>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事项名称</w:t>
            </w:r>
          </w:p>
        </w:tc>
        <w:tc>
          <w:tcPr>
            <w:tcW w:w="1435" w:type="dxa"/>
            <w:vMerge w:val="restart"/>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子项名称</w:t>
            </w:r>
          </w:p>
        </w:tc>
        <w:tc>
          <w:tcPr>
            <w:tcW w:w="687" w:type="dxa"/>
            <w:vMerge w:val="restart"/>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是否纳入市行政许可事项目录</w:t>
            </w:r>
          </w:p>
        </w:tc>
        <w:tc>
          <w:tcPr>
            <w:tcW w:w="733" w:type="dxa"/>
            <w:vMerge w:val="restart"/>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是否进驻省政务服务网</w:t>
            </w:r>
          </w:p>
        </w:tc>
        <w:tc>
          <w:tcPr>
            <w:tcW w:w="5459" w:type="dxa"/>
            <w:gridSpan w:val="8"/>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全年业务量（件）</w:t>
            </w:r>
          </w:p>
        </w:tc>
        <w:tc>
          <w:tcPr>
            <w:tcW w:w="2802" w:type="dxa"/>
            <w:gridSpan w:val="5"/>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实施过程</w:t>
            </w:r>
          </w:p>
        </w:tc>
        <w:tc>
          <w:tcPr>
            <w:tcW w:w="2860" w:type="dxa"/>
            <w:gridSpan w:val="5"/>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62" w:type="dxa"/>
            <w:vMerge w:val="continue"/>
            <w:noWrap/>
            <w:vAlign w:val="center"/>
          </w:tcPr>
          <w:p>
            <w:pPr>
              <w:widowControl/>
              <w:spacing w:line="320" w:lineRule="exact"/>
              <w:jc w:val="center"/>
              <w:rPr>
                <w:rFonts w:hint="eastAsia" w:ascii="方正黑体_GBK" w:hAnsi="方正黑体_GBK" w:eastAsia="方正黑体_GBK" w:cs="方正黑体_GBK"/>
                <w:b w:val="0"/>
                <w:bCs w:val="0"/>
                <w:i w:val="0"/>
                <w:iCs w:val="0"/>
                <w:color w:val="000000"/>
                <w:sz w:val="20"/>
                <w:szCs w:val="20"/>
                <w:u w:val="none"/>
              </w:rPr>
            </w:pPr>
          </w:p>
        </w:tc>
        <w:tc>
          <w:tcPr>
            <w:tcW w:w="1140" w:type="dxa"/>
            <w:vMerge w:val="continue"/>
            <w:noWrap w:val="0"/>
            <w:vAlign w:val="center"/>
          </w:tcPr>
          <w:p>
            <w:pPr>
              <w:widowControl/>
              <w:spacing w:line="320" w:lineRule="exact"/>
              <w:jc w:val="center"/>
              <w:rPr>
                <w:rFonts w:hint="eastAsia" w:ascii="方正黑体_GBK" w:hAnsi="方正黑体_GBK" w:eastAsia="方正黑体_GBK" w:cs="方正黑体_GBK"/>
                <w:b w:val="0"/>
                <w:bCs w:val="0"/>
                <w:i w:val="0"/>
                <w:iCs w:val="0"/>
                <w:color w:val="000000"/>
                <w:sz w:val="20"/>
                <w:szCs w:val="20"/>
                <w:u w:val="none"/>
              </w:rPr>
            </w:pPr>
          </w:p>
        </w:tc>
        <w:tc>
          <w:tcPr>
            <w:tcW w:w="1435" w:type="dxa"/>
            <w:vMerge w:val="continue"/>
            <w:noWrap w:val="0"/>
            <w:vAlign w:val="center"/>
          </w:tcPr>
          <w:p>
            <w:pPr>
              <w:widowControl/>
              <w:spacing w:line="320" w:lineRule="exact"/>
              <w:jc w:val="center"/>
              <w:rPr>
                <w:rFonts w:hint="eastAsia" w:ascii="方正黑体_GBK" w:hAnsi="方正黑体_GBK" w:eastAsia="方正黑体_GBK" w:cs="方正黑体_GBK"/>
                <w:b w:val="0"/>
                <w:bCs w:val="0"/>
                <w:i w:val="0"/>
                <w:iCs w:val="0"/>
                <w:color w:val="000000"/>
                <w:sz w:val="20"/>
                <w:szCs w:val="20"/>
                <w:u w:val="none"/>
              </w:rPr>
            </w:pPr>
          </w:p>
        </w:tc>
        <w:tc>
          <w:tcPr>
            <w:tcW w:w="687" w:type="dxa"/>
            <w:vMerge w:val="continue"/>
            <w:noWrap w:val="0"/>
            <w:vAlign w:val="center"/>
          </w:tcPr>
          <w:p>
            <w:pPr>
              <w:widowControl/>
              <w:spacing w:line="320" w:lineRule="exact"/>
              <w:jc w:val="center"/>
              <w:rPr>
                <w:rFonts w:hint="eastAsia" w:ascii="方正黑体_GBK" w:hAnsi="方正黑体_GBK" w:eastAsia="方正黑体_GBK" w:cs="方正黑体_GBK"/>
                <w:b w:val="0"/>
                <w:bCs w:val="0"/>
                <w:i w:val="0"/>
                <w:iCs w:val="0"/>
                <w:color w:val="000000"/>
                <w:sz w:val="20"/>
                <w:szCs w:val="20"/>
                <w:u w:val="none"/>
              </w:rPr>
            </w:pPr>
          </w:p>
        </w:tc>
        <w:tc>
          <w:tcPr>
            <w:tcW w:w="733" w:type="dxa"/>
            <w:vMerge w:val="continue"/>
            <w:noWrap w:val="0"/>
            <w:vAlign w:val="center"/>
          </w:tcPr>
          <w:p>
            <w:pPr>
              <w:widowControl/>
              <w:spacing w:line="320" w:lineRule="exact"/>
              <w:jc w:val="center"/>
              <w:rPr>
                <w:rFonts w:hint="eastAsia" w:ascii="方正黑体_GBK" w:hAnsi="方正黑体_GBK" w:eastAsia="方正黑体_GBK" w:cs="方正黑体_GBK"/>
                <w:b w:val="0"/>
                <w:bCs w:val="0"/>
                <w:i w:val="0"/>
                <w:iCs w:val="0"/>
                <w:color w:val="000000"/>
                <w:sz w:val="20"/>
                <w:szCs w:val="20"/>
                <w:u w:val="none"/>
              </w:rPr>
            </w:pPr>
          </w:p>
        </w:tc>
        <w:tc>
          <w:tcPr>
            <w:tcW w:w="72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申请量</w:t>
            </w:r>
          </w:p>
        </w:tc>
        <w:tc>
          <w:tcPr>
            <w:tcW w:w="72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受理量</w:t>
            </w:r>
          </w:p>
        </w:tc>
        <w:tc>
          <w:tcPr>
            <w:tcW w:w="452"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不受理量</w:t>
            </w:r>
          </w:p>
        </w:tc>
        <w:tc>
          <w:tcPr>
            <w:tcW w:w="72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办结量</w:t>
            </w:r>
          </w:p>
        </w:tc>
        <w:tc>
          <w:tcPr>
            <w:tcW w:w="73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审批同意量</w:t>
            </w:r>
          </w:p>
        </w:tc>
        <w:tc>
          <w:tcPr>
            <w:tcW w:w="642"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审批不同意量</w:t>
            </w:r>
          </w:p>
        </w:tc>
        <w:tc>
          <w:tcPr>
            <w:tcW w:w="73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网上受理量</w:t>
            </w:r>
          </w:p>
        </w:tc>
        <w:tc>
          <w:tcPr>
            <w:tcW w:w="745"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网上全流程办结量</w:t>
            </w:r>
          </w:p>
        </w:tc>
        <w:tc>
          <w:tcPr>
            <w:tcW w:w="54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法定办结期限</w:t>
            </w:r>
          </w:p>
        </w:tc>
        <w:tc>
          <w:tcPr>
            <w:tcW w:w="462"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承诺办结期限</w:t>
            </w:r>
          </w:p>
        </w:tc>
        <w:tc>
          <w:tcPr>
            <w:tcW w:w="473"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实际平均办结时间</w:t>
            </w:r>
          </w:p>
        </w:tc>
        <w:tc>
          <w:tcPr>
            <w:tcW w:w="682"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是否向社会公开审批结果</w:t>
            </w:r>
          </w:p>
        </w:tc>
        <w:tc>
          <w:tcPr>
            <w:tcW w:w="645"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是否公开办事指南和业务手册</w:t>
            </w:r>
          </w:p>
        </w:tc>
        <w:tc>
          <w:tcPr>
            <w:tcW w:w="488"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是否制定监管标准或制度</w:t>
            </w:r>
          </w:p>
        </w:tc>
        <w:tc>
          <w:tcPr>
            <w:tcW w:w="550"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开展抽查监管人次</w:t>
            </w:r>
          </w:p>
        </w:tc>
        <w:tc>
          <w:tcPr>
            <w:tcW w:w="493"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抽查发现违法违规行为件数</w:t>
            </w:r>
          </w:p>
        </w:tc>
        <w:tc>
          <w:tcPr>
            <w:tcW w:w="487"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查处违法违规行为件数</w:t>
            </w:r>
          </w:p>
        </w:tc>
        <w:tc>
          <w:tcPr>
            <w:tcW w:w="842" w:type="dxa"/>
            <w:noWrap w:val="0"/>
            <w:vAlign w:val="center"/>
          </w:tcPr>
          <w:p>
            <w:pPr>
              <w:keepNext w:val="0"/>
              <w:keepLines w:val="0"/>
              <w:widowControl/>
              <w:suppressLineNumbers w:val="0"/>
              <w:spacing w:line="320" w:lineRule="exact"/>
              <w:jc w:val="center"/>
              <w:textAlignment w:val="center"/>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收到行政相对人有效投诉举报数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第三类医疗器械经营许可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医疗器械经营许可证（第三类医疗器械）变更</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jc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rPr>
              <w:t>12208</w:t>
            </w:r>
          </w:p>
        </w:tc>
        <w:tc>
          <w:tcPr>
            <w:tcW w:w="493"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sz w:val="20"/>
                <w:szCs w:val="20"/>
                <w:u w:val="none"/>
                <w:lang w:val="en-US" w:eastAsia="zh-CN"/>
              </w:rPr>
              <w:t>785</w:t>
            </w:r>
          </w:p>
        </w:tc>
        <w:tc>
          <w:tcPr>
            <w:tcW w:w="487"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第三类医疗器械经营许可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医疗器械经营许可证（第三类医疗器械）核发</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第三类医疗器械经营许可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医疗器械经营许可证（第三类医疗器械）延续</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第三类医疗器械经营许可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医疗器械经营许可证（第三类医疗器械）注销</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化妆品生产许可证变更</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884</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862</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862</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6600</w:t>
            </w:r>
          </w:p>
        </w:tc>
        <w:tc>
          <w:tcPr>
            <w:tcW w:w="493"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487"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化妆品生产许可证核发</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323</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339</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339</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化妆品生产许可证延续</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1351</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1326</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1326</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1339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1326</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1326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化妆品生产许可证注销</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84</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非法人分支机构变更登记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1658</w:t>
            </w:r>
          </w:p>
        </w:tc>
        <w:tc>
          <w:tcPr>
            <w:tcW w:w="493"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235101</w:t>
            </w:r>
          </w:p>
        </w:tc>
        <w:tc>
          <w:tcPr>
            <w:tcW w:w="487"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vMerge w:val="restart"/>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非法人分支机构开业登记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非法人分支机构注销登记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非公司企业法人变更登记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非公司企业法人改制变更登记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非公司企业法人开业登记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非公司企业法人注销登记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非公司外商投资企业变更登记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非公司外商投资企业分支机构变更登记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非公司外商投资企业分支机构设立登记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非公司外商投资企业分支机构注销登记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非公司外商投资企业注销登记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1447</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1091</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合伙企业分支机构变更登记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合伙企业分支机构设立登记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合伙企业分支机构注销登记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合伙企业注销登记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内资分公司变更登记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365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内资分公司设立登记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内资分公司注销登记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内资公司分立、合并登记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141</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内资股份有限公司变更登记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3306</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3177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3177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2100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1192</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内资股份有限公司设立登记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327</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内资股份有限公司注销登记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112</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87</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内资企业变更为外商投资企业</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内资有限责任公司变更登记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3929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3762</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3762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2881</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486</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874</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内资有限责任公司设立登记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内资有限责任公司注销登记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445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343</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企业迁移</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279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251</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外商投资的公司分公司变更登记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1362</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1359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1227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367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外商投资的公司分公司设立登记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493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302</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外商投资的公司分公司注销登记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412</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407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367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外商投资股份有限公司变更登记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外商投资股份有限公司设立登记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外商投资股份有限公司注销登记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外商投资企业变更为内资企业</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外商投资有限责任公司变更登记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1930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1926</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1926</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1495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334</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外商投资有限责任公司设立登记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1703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1668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1668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742</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1225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外商投资有限责任公司注销登记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营业单位变更登记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营业单位开业登记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企业登记注册</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营业单位注销登记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480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461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461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395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80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外国（地区）企业常驻代表机构注销登记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外国（地区）企业在中国境内从事生产经营活动变更登记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外国（地区）企业在中国境内从事生产经营活动设立登记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外国（地区）企业在中国境内从事生产经营活动注销登记</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食品经营许可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食品经营许可证核发（除实施申请人承诺制的小餐饮及仅销售预包装食品之外的食品经营者）</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227</w:t>
            </w:r>
          </w:p>
        </w:tc>
        <w:tc>
          <w:tcPr>
            <w:tcW w:w="493" w:type="dxa"/>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56</w:t>
            </w:r>
          </w:p>
        </w:tc>
        <w:tc>
          <w:tcPr>
            <w:tcW w:w="487" w:type="dxa"/>
            <w:vMerge w:val="restart"/>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1</w:t>
            </w:r>
          </w:p>
        </w:tc>
        <w:tc>
          <w:tcPr>
            <w:tcW w:w="842" w:type="dxa"/>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食品经营许可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食品经营许可证变更</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restart"/>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153</w:t>
            </w:r>
          </w:p>
        </w:tc>
        <w:tc>
          <w:tcPr>
            <w:tcW w:w="493" w:type="dxa"/>
            <w:vMerge w:val="restart"/>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31</w:t>
            </w:r>
          </w:p>
        </w:tc>
        <w:tc>
          <w:tcPr>
            <w:tcW w:w="487"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842" w:type="dxa"/>
            <w:vMerge w:val="restart"/>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2"/>
                <w:sz w:val="20"/>
                <w:szCs w:val="20"/>
                <w:u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食品经营许可证延续</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食品经营许可证注销</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93" w:type="dxa"/>
            <w:vMerge w:val="continue"/>
            <w:noWrap w:val="0"/>
            <w:vAlign w:val="center"/>
          </w:tcPr>
          <w:p>
            <w:pPr>
              <w:jc w:val="center"/>
              <w:rPr>
                <w:rFonts w:hint="default" w:ascii="Times New Roman" w:hAnsi="Times New Roman" w:eastAsia="方正仿宋_GBK" w:cs="Times New Roman"/>
                <w:i w:val="0"/>
                <w:iCs w:val="0"/>
                <w:color w:val="000000"/>
                <w:kern w:val="2"/>
                <w:sz w:val="20"/>
                <w:szCs w:val="20"/>
                <w:u w:val="none"/>
                <w:lang w:val="en-US" w:eastAsia="zh-CN" w:bidi="ar-SA"/>
              </w:rPr>
            </w:pPr>
          </w:p>
        </w:tc>
        <w:tc>
          <w:tcPr>
            <w:tcW w:w="487"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特殊药品的购用、使用、经营、生产和邮寄、运输审批</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麻醉药品和第一类精神药品运输证明核发</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28</w:t>
            </w:r>
          </w:p>
        </w:tc>
        <w:tc>
          <w:tcPr>
            <w:tcW w:w="493"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487"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特殊药品的购用、使用、经营、生产和邮寄、运输审批</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麻醉药品和精神药品邮寄证明核发</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14</w:t>
            </w:r>
          </w:p>
        </w:tc>
        <w:tc>
          <w:tcPr>
            <w:tcW w:w="493"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487"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药品经营许可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药品经营许可证变更（批发、零售连锁总部）（部分情形，限广州市、深圳市、横琴自贸区、南沙自贸区）</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487</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482</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482</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477</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jc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504</w:t>
            </w:r>
          </w:p>
        </w:tc>
        <w:tc>
          <w:tcPr>
            <w:tcW w:w="493"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487"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c>
          <w:tcPr>
            <w:tcW w:w="842" w:type="dxa"/>
            <w:noWrap w:val="0"/>
            <w:vAlign w:val="center"/>
          </w:tcPr>
          <w:p>
            <w:pPr>
              <w:jc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eastAsia="zh-CN"/>
              </w:rPr>
            </w:pPr>
            <w:r>
              <w:rPr>
                <w:rFonts w:hint="default" w:ascii="Times New Roman" w:hAnsi="Times New Roman" w:eastAsia="方正仿宋_GBK" w:cs="Times New Roman"/>
                <w:i w:val="0"/>
                <w:iCs w:val="0"/>
                <w:color w:val="000000"/>
                <w:sz w:val="21"/>
                <w:szCs w:val="21"/>
                <w:u w:val="none"/>
                <w:lang w:val="en-US" w:eastAsia="zh-CN"/>
              </w:rPr>
              <w:t>9</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工业产品生产许可证核发</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危险化学品包装物、容器</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144</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工业产品生产许可证核发</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食品相关产品-压力锅</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特种设备使用登记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特种设备使用登记（按台套）</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1008</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1008</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998</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1008</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1008</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234</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特种设备使用登记</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特种设备使用登记（按单位）</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479</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479</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474</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479</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479</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vMerge w:val="continue"/>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气瓶、移动式压力容器充装单位许可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气瓶、移动式压力容器充装单位许可</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198</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特种设备作业人员考核</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特种设备作业人员考核</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56785</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fldChar w:fldCharType="begin"/>
            </w:r>
            <w:r>
              <w:rPr>
                <w:rFonts w:hint="default" w:ascii="Times New Roman" w:hAnsi="Times New Roman" w:eastAsia="方正仿宋_GBK" w:cs="Times New Roman"/>
                <w:i w:val="0"/>
                <w:iCs w:val="0"/>
                <w:color w:val="auto"/>
                <w:kern w:val="0"/>
                <w:sz w:val="21"/>
                <w:szCs w:val="21"/>
                <w:u w:val="none"/>
                <w:lang w:val="en-US" w:eastAsia="zh-CN" w:bidi="ar"/>
              </w:rPr>
              <w:instrText xml:space="preserve"> HYPERLINK "http://19.15.0.100/zwml-admin/implementsubject/view/f26ef8ed-376b-4459-9f00-100d384c822a" \o "http://19.15.0.100/zwml-admin/implementsubject/view/f26ef8ed-376b-4459-9f00-100d384c822a" </w:instrText>
            </w:r>
            <w:r>
              <w:rPr>
                <w:rFonts w:hint="default" w:ascii="Times New Roman" w:hAnsi="Times New Roman" w:eastAsia="方正仿宋_GBK" w:cs="Times New Roman"/>
                <w:i w:val="0"/>
                <w:iCs w:val="0"/>
                <w:color w:val="auto"/>
                <w:kern w:val="0"/>
                <w:sz w:val="21"/>
                <w:szCs w:val="21"/>
                <w:u w:val="none"/>
                <w:lang w:val="en-US" w:eastAsia="zh-CN" w:bidi="ar"/>
              </w:rPr>
              <w:fldChar w:fldCharType="separate"/>
            </w:r>
            <w:r>
              <w:rPr>
                <w:rFonts w:hint="default" w:ascii="Times New Roman" w:hAnsi="Times New Roman" w:eastAsia="方正仿宋_GBK" w:cs="Times New Roman"/>
                <w:i w:val="0"/>
                <w:iCs w:val="0"/>
                <w:color w:val="auto"/>
                <w:sz w:val="21"/>
                <w:szCs w:val="21"/>
                <w:u w:val="none"/>
              </w:rPr>
              <w:t>房屋建筑工地和市政工程工地用起重机械、场（厂）内专用机动车辆检验检测机构资格核准</w:t>
            </w:r>
            <w:r>
              <w:rPr>
                <w:rFonts w:hint="default" w:ascii="Times New Roman" w:hAnsi="Times New Roman" w:eastAsia="方正仿宋_GBK" w:cs="Times New Roman"/>
                <w:i w:val="0"/>
                <w:iCs w:val="0"/>
                <w:color w:val="auto"/>
                <w:kern w:val="0"/>
                <w:sz w:val="21"/>
                <w:szCs w:val="21"/>
                <w:u w:val="none"/>
                <w:lang w:val="en-US" w:eastAsia="zh-CN" w:bidi="ar"/>
              </w:rPr>
              <w:fldChar w:fldCharType="end"/>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fldChar w:fldCharType="begin"/>
            </w:r>
            <w:r>
              <w:rPr>
                <w:rFonts w:hint="default" w:ascii="Times New Roman" w:hAnsi="Times New Roman" w:eastAsia="方正仿宋_GBK" w:cs="Times New Roman"/>
                <w:i w:val="0"/>
                <w:iCs w:val="0"/>
                <w:color w:val="auto"/>
                <w:kern w:val="0"/>
                <w:sz w:val="21"/>
                <w:szCs w:val="21"/>
                <w:u w:val="none"/>
                <w:lang w:val="en-US" w:eastAsia="zh-CN" w:bidi="ar"/>
              </w:rPr>
              <w:instrText xml:space="preserve"> HYPERLINK "http://19.15.0.100/zwml-admin/implementsubject/view/f26ef8ed-376b-4459-9f00-100d384c822a" \o "http://19.15.0.100/zwml-admin/implementsubject/view/f26ef8ed-376b-4459-9f00-100d384c822a" </w:instrText>
            </w:r>
            <w:r>
              <w:rPr>
                <w:rFonts w:hint="default" w:ascii="Times New Roman" w:hAnsi="Times New Roman" w:eastAsia="方正仿宋_GBK" w:cs="Times New Roman"/>
                <w:i w:val="0"/>
                <w:iCs w:val="0"/>
                <w:color w:val="auto"/>
                <w:kern w:val="0"/>
                <w:sz w:val="21"/>
                <w:szCs w:val="21"/>
                <w:u w:val="none"/>
                <w:lang w:val="en-US" w:eastAsia="zh-CN" w:bidi="ar"/>
              </w:rPr>
              <w:fldChar w:fldCharType="separate"/>
            </w:r>
            <w:r>
              <w:rPr>
                <w:rFonts w:hint="default" w:ascii="Times New Roman" w:hAnsi="Times New Roman" w:eastAsia="方正仿宋_GBK" w:cs="Times New Roman"/>
                <w:i w:val="0"/>
                <w:iCs w:val="0"/>
                <w:color w:val="auto"/>
                <w:sz w:val="21"/>
                <w:szCs w:val="21"/>
                <w:u w:val="none"/>
              </w:rPr>
              <w:t>房屋建筑工地和市政工程工地用起重机械、场（厂）内专用机动车辆检验检测机构资格核准</w:t>
            </w:r>
            <w:r>
              <w:rPr>
                <w:rFonts w:hint="default" w:ascii="Times New Roman" w:hAnsi="Times New Roman" w:eastAsia="方正仿宋_GBK" w:cs="Times New Roman"/>
                <w:i w:val="0"/>
                <w:iCs w:val="0"/>
                <w:color w:val="auto"/>
                <w:kern w:val="0"/>
                <w:sz w:val="21"/>
                <w:szCs w:val="21"/>
                <w:u w:val="none"/>
                <w:lang w:val="en-US" w:eastAsia="zh-CN" w:bidi="ar"/>
              </w:rPr>
              <w:fldChar w:fldCharType="end"/>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0"/>
                <w:szCs w:val="20"/>
                <w:u w:val="none"/>
              </w:rPr>
            </w:pPr>
            <w:r>
              <w:rPr>
                <w:rFonts w:hint="default" w:ascii="Times New Roman" w:hAnsi="Times New Roman" w:eastAsia="方正仿宋_GBK" w:cs="Times New Roman"/>
                <w:i w:val="0"/>
                <w:iCs w:val="0"/>
                <w:color w:val="auto"/>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电梯安装改造修理单位资格许可</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电梯安装改造修理单位资格许可</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118</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62" w:type="dxa"/>
            <w:vMerge w:val="restart"/>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承担国家法定计量检定机构任务的授权</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单位内部强检计量器具检定的授权考核</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62" w:type="dxa"/>
            <w:vMerge w:val="continue"/>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承担国家法定计量检定机构任务的授权</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专项计量授权考核</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计量标准器具核准</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计量标准器具核准（备注：社会公用计量标准）</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246</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246</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62"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140"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药品进口备案核准</w:t>
            </w:r>
          </w:p>
        </w:tc>
        <w:tc>
          <w:tcPr>
            <w:tcW w:w="1435"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药品进口备案核准</w:t>
            </w:r>
          </w:p>
        </w:tc>
        <w:tc>
          <w:tcPr>
            <w:tcW w:w="6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3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2565</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2565</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2565</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2563</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2565</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2565</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55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280</w:t>
            </w:r>
          </w:p>
        </w:tc>
        <w:tc>
          <w:tcPr>
            <w:tcW w:w="49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487"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合计</w:t>
            </w:r>
          </w:p>
        </w:tc>
        <w:tc>
          <w:tcPr>
            <w:tcW w:w="11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c>
          <w:tcPr>
            <w:tcW w:w="1435" w:type="dxa"/>
            <w:noWrap w:val="0"/>
            <w:vAlign w:val="center"/>
          </w:tcPr>
          <w:p>
            <w:pPr>
              <w:jc w:val="left"/>
              <w:rPr>
                <w:rFonts w:hint="default" w:ascii="Times New Roman" w:hAnsi="Times New Roman" w:eastAsia="方正仿宋_GBK" w:cs="Times New Roman"/>
                <w:i w:val="0"/>
                <w:iCs w:val="0"/>
                <w:color w:val="000000"/>
                <w:sz w:val="21"/>
                <w:szCs w:val="21"/>
                <w:u w:val="none"/>
              </w:rPr>
            </w:pPr>
          </w:p>
        </w:tc>
        <w:tc>
          <w:tcPr>
            <w:tcW w:w="687"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733"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82822</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82139</w:t>
            </w:r>
          </w:p>
        </w:tc>
        <w:tc>
          <w:tcPr>
            <w:tcW w:w="45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72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82234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77380</w:t>
            </w:r>
          </w:p>
        </w:tc>
        <w:tc>
          <w:tcPr>
            <w:tcW w:w="64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73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68416</w:t>
            </w:r>
          </w:p>
        </w:tc>
        <w:tc>
          <w:tcPr>
            <w:tcW w:w="7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68044</w:t>
            </w:r>
          </w:p>
        </w:tc>
        <w:tc>
          <w:tcPr>
            <w:tcW w:w="540"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46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473"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682"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645"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488" w:type="dxa"/>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0"/>
                <w:szCs w:val="20"/>
                <w:u w:val="none"/>
              </w:rPr>
            </w:pPr>
          </w:p>
        </w:tc>
        <w:tc>
          <w:tcPr>
            <w:tcW w:w="550"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93"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487"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c>
          <w:tcPr>
            <w:tcW w:w="842" w:type="dxa"/>
            <w:noWrap w:val="0"/>
            <w:vAlign w:val="center"/>
          </w:tcPr>
          <w:p>
            <w:pPr>
              <w:jc w:val="center"/>
              <w:rPr>
                <w:rFonts w:hint="default" w:ascii="Times New Roman" w:hAnsi="Times New Roman" w:eastAsia="方正仿宋_GBK" w:cs="Times New Roman"/>
                <w:i w:val="0"/>
                <w:iCs w:val="0"/>
                <w:color w:val="000000"/>
                <w:sz w:val="20"/>
                <w:szCs w:val="20"/>
                <w:u w:val="none"/>
              </w:rPr>
            </w:pPr>
          </w:p>
        </w:tc>
      </w:tr>
    </w:tbl>
    <w:p>
      <w:pPr>
        <w:rPr>
          <w:rFonts w:ascii="Times New Roman" w:hAnsi="Times New Roman" w:eastAsia="宋体" w:cs="Times New Roman"/>
          <w:sz w:val="32"/>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sectPr>
          <w:headerReference r:id="rId3" w:type="first"/>
          <w:footerReference r:id="rId5" w:type="first"/>
          <w:footerReference r:id="rId4" w:type="default"/>
          <w:pgSz w:w="16838" w:h="11906" w:orient="landscape"/>
          <w:pgMar w:top="2098" w:right="1474" w:bottom="1984" w:left="1587" w:header="964" w:footer="1587" w:gutter="0"/>
          <w:pgNumType w:fmt="decimal"/>
          <w:cols w:space="720" w:num="1"/>
          <w:titlePg/>
          <w:rtlGutter w:val="0"/>
          <w:docGrid w:type="lines" w:linePitch="460" w:charSpace="0"/>
        </w:sect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p>
      <w:pPr>
        <w:spacing w:line="600" w:lineRule="exact"/>
        <w:ind w:firstLine="0" w:firstLineChars="0"/>
        <w:textAlignment w:val="baseline"/>
        <w:rPr>
          <w:rFonts w:hint="eastAsia" w:ascii="Times New Roman" w:hAnsi="Times New Roman" w:eastAsia="方正仿宋_GBK" w:cs="方正仿宋_GBK"/>
          <w:color w:val="000000"/>
          <w:szCs w:val="32"/>
        </w:rPr>
      </w:pPr>
    </w:p>
    <w:bookmarkEnd w:id="0"/>
    <w:p/>
    <w:sectPr>
      <w:footerReference r:id="rId8" w:type="first"/>
      <w:footerReference r:id="rId6" w:type="default"/>
      <w:footerReference r:id="rId7" w:type="even"/>
      <w:pgSz w:w="11906" w:h="16838"/>
      <w:pgMar w:top="2098" w:right="1474" w:bottom="1984" w:left="1587" w:header="964" w:footer="1587" w:gutter="0"/>
      <w:pgNumType w:fmt="decimal"/>
      <w:cols w:space="720" w:num="1"/>
      <w:titlePg/>
      <w:rtlGutter w:val="0"/>
      <w:docGrid w:type="lines" w:linePitch="4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40"/>
      <w:jc w:val="distribut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ODlhYWVhOGI4ZjgwNGQwZDg2NTBmNDFiZDc3MDkifQ=="/>
  </w:docVars>
  <w:rsids>
    <w:rsidRoot w:val="4A1B25B1"/>
    <w:rsid w:val="4A1B25B1"/>
    <w:rsid w:val="5C8A4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5505</Words>
  <Characters>6271</Characters>
  <Lines>0</Lines>
  <Paragraphs>0</Paragraphs>
  <TotalTime>1</TotalTime>
  <ScaleCrop>false</ScaleCrop>
  <LinksUpToDate>false</LinksUpToDate>
  <CharactersWithSpaces>6272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2022-05-27T02:58:00Z</dcterms:created>
  <dc:creator>传入的名字</dc:creator>
  <cp:lastModifiedBy>董大宾</cp:lastModifiedBy>
  <dcterms:modified xsi:type="dcterms:W3CDTF">2022-05-30T08:13:56Z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540CBFE6F6724DBD857D75D0F79A1C17</vt:lpwstr>
  </property>
</Properties>
</file>