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/>
        <w:bidi w:val="0"/>
        <w:adjustRightInd/>
        <w:snapToGrid/>
        <w:spacing w:before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eastAsia="zh-CN"/>
        </w:rPr>
        <w:t>广州市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</w:rPr>
        <w:t>集中用餐单位食品安全问题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/>
        <w:bidi w:val="0"/>
        <w:adjustRightInd/>
        <w:snapToGrid/>
        <w:spacing w:before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</w:rPr>
        <w:t>专项治理行动统计表</w:t>
      </w:r>
    </w:p>
    <w:bookmarkEnd w:id="0"/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/>
        <w:bidi w:val="0"/>
        <w:adjustRightInd/>
        <w:snapToGrid/>
        <w:spacing w:before="0" w:afterAutospacing="0" w:line="2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spacing w:val="0"/>
          <w:kern w:val="2"/>
          <w:sz w:val="28"/>
          <w:szCs w:val="28"/>
          <w:lang w:val="en-US" w:eastAsia="zh-CN" w:bidi="ar"/>
        </w:rPr>
        <w:t>填报单位：（加盖公章）            填报人：          填报时间：</w:t>
      </w:r>
    </w:p>
    <w:tbl>
      <w:tblPr>
        <w:tblStyle w:val="6"/>
        <w:tblW w:w="9825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717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具体项目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基础数据</w:t>
            </w: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集中用餐单位食堂（家）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其中：学校（含托幼机构）（家）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医院（家）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养老服务机构（家）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机关（家）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其他（家）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集中用餐单位食堂承包经营者（家）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其中：学校（含托幼机构）（家）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医院（家）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养老服务机构（家）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机关（家）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其他（家）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落实企业（单位）主体责任</w:t>
            </w: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督促集中用餐单位及其食堂承包经营者开展自查自纠（家）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其中：学校（含托幼机构）（家）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医院（家）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养老服务机构（家）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机关（家）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其他（家）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督促集中用餐单位及其食堂承包经营者建立食品安全管理制度（家）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配备食品安全总监和食品安全员（家）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配备率（%）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严格执行食品安全“日管控、周排查、月调度”制度（家）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执行率（%）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相关从业人员开展食品安全培训考核（家）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培训考核率（%）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监督检查情况</w:t>
            </w: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检查集中用餐单位及其食堂承包经营者（家）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其中：学校（含托幼机构）（家）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医院（家）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养老服务机构（家）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机关（家）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其他（家）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发现问题（家次）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督促整改问题（个）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退出或更换的承包经营企业（家）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案件查处情况</w:t>
            </w: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责令整改，予以警告（件）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罚款（件）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罚没金额（元）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“回头看”未整改到位被行政处罚的案件（件）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公布典型案例（个）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发布执法指引、指导案例等细化执法标准措施（个）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加强行业管理</w:t>
            </w: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行业主管部门检查集中用餐单位日常管理（家）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其中：学校（含托幼机构）（家）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医院（家）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养老服务机构（家）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机关（家）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其他（家）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行业主管部门检查集中用餐单位招投标管理（家）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其中：学校（含托幼机构）（家）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医院（家）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养老服务机构（家）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机关（家）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其他（家）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推行“明厨亮灶”（家）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覆盖率（%）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其中：学校（含托幼机构）（家）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覆盖率（%）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医院（家）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覆盖率（%）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养老服务机构（家）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覆盖率（%）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机关（家）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覆盖率（%）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其他（家）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覆盖率（%）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推行“互联网+明厨亮灶”（家）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覆盖率（%）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其中：学校（含托幼机构）（家）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覆盖率（%）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医院（家）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覆盖率（%）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养老服务机构（家）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覆盖率（%）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机关（家）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覆盖率（%）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其他（家）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覆盖率（%）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包保督导情况</w:t>
            </w: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对集中用餐单位包保覆盖率（%）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督导完成率（%）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问题整改率（%）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建立健全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长效机制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专项治理行动工作方案（个）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建立规范集中用餐单位食品安全法规（个）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标准（个）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制度机制（个）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市级相关部门督查（次）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督促整改问题（个）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推进集中用餐单位食堂参保食品安全责任保险（家）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其中：学校（含托幼机构）（家）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医院（家）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养老服务机构（家）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机关（家）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其他（家）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宣传引导情况</w:t>
            </w: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各类报纸版面、广播电视、新媒体平台进行宣传报道（篇次）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开展重点宣传活动（项）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制作海报、图解、视频等各类宣传产品（个）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宣传覆盖人群（人次）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宣传报道及产品浏览量（人次）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注：每月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20日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前报送至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市场监管局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餐饮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处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，填报数为集中用餐单位食品安全问题专项治理行动开展以来累计数。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7598502B"/>
    <w:rsid w:val="7598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Plain Text"/>
    <w:basedOn w:val="1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2023-09-28T06:51:00Z</dcterms:created>
  <dc:creator>叶菲</dc:creator>
  <cp:lastModifiedBy>叶菲</cp:lastModifiedBy>
  <dcterms:modified xsi:type="dcterms:W3CDTF">2023-09-28T06:51:46Z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A5795BB9B3E34D32A34B798EFB0CB546_11</vt:lpwstr>
  </property>
</Properties>
</file>