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方正黑体_GBK" w:eastAsia="方正黑体_GBK" w:cs="方正黑体_GBK"/>
          <w:sz w:val="32"/>
          <w:szCs w:val="21"/>
        </w:rPr>
      </w:pPr>
      <w:r>
        <w:rPr>
          <w:rFonts w:hint="eastAsia" w:ascii="方正黑体_GBK" w:hAnsi="方正黑体_GBK" w:eastAsia="方正黑体_GBK" w:cs="方正黑体_GBK"/>
          <w:sz w:val="32"/>
          <w:szCs w:val="21"/>
        </w:rPr>
        <w:t>附件3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结题验收材料具体提交要求</w:t>
      </w:r>
    </w:p>
    <w:bookmarkEnd w:id="0"/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28"/>
        </w:rPr>
        <w:t>一、2023年度省下放市县知识产权专项资金保护类项目验收书</w:t>
      </w:r>
    </w:p>
    <w:p>
      <w:pPr>
        <w:numPr>
          <w:ilvl w:val="0"/>
          <w:numId w:val="0"/>
        </w:numPr>
        <w:spacing w:line="540" w:lineRule="exact"/>
        <w:ind w:firstLine="960" w:firstLineChars="300"/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  <w:t>（一）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《验收书》双面打印，一式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  <w:t>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份，并按要求在相应处签名、盖章；验收意见与专家名单无需打印或单独页打印，验收后替换为专家签字页。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《验收书》无需装订。</w:t>
      </w:r>
    </w:p>
    <w:p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28"/>
        </w:rPr>
        <w:t>二、结题验收材料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有关材料须编制页码、按顺序装订成册，一式叁份。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材料具体包括但不限于以下材料：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目录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2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项目合同书复印件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项目工作总结报告，内容包括项目执行情况、主要绩效、经费管理及使用情况、存在的问题及建议等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项目达标情况材料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5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项目经费使用情况材料，包括项目经费决算表、财政资金支出明细表、相关记账凭证、发票复印件，或专项审计报告等。项目经费决算表、财政资金支出明细表、相关记账凭证、发票复印件需加盖单位财务专用章；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财政资金50万元及以上项目需提供专项审计报告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6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</w:rPr>
        <w:t>其它相关材料，包括知识产权、成果、论文、专著、资质、各类证书、许可证等材料的复印件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49F96958"/>
    <w:rsid w:val="49F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2024-01-10T02:32:00Z</dcterms:created>
  <dc:creator>叶菲</dc:creator>
  <cp:lastModifiedBy>叶菲</cp:lastModifiedBy>
  <dcterms:modified xsi:type="dcterms:W3CDTF">2024-01-10T02:33:00Z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9A35FF78D62749F28A2283C9454B8AB0_11</vt:lpwstr>
  </property>
</Properties>
</file>