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仿宋"/>
          <w:sz w:val="44"/>
          <w:szCs w:val="32"/>
        </w:rPr>
        <w:t>中央财政资金2019-2020年项目资金安排计划表</w:t>
      </w:r>
    </w:p>
    <w:tbl>
      <w:tblPr>
        <w:tblStyle w:val="3"/>
        <w:tblW w:w="14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785"/>
        <w:gridCol w:w="1102"/>
        <w:gridCol w:w="1485"/>
        <w:gridCol w:w="145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项目名称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立项数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总金额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2"/>
              </w:rPr>
              <w:t>万元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第一批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2"/>
              </w:rPr>
              <w:t>万元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第二批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2"/>
              </w:rPr>
              <w:t>万元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建设广州市会展和电商知识产权保护中心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400.00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240.00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支持广州市知识产权维权援助中心建设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600.00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400.00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支持知识产权交易平台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支持全国知识产权服务品牌机构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支持各区建立重点产业知识产权维权援助和知识产权保护工作站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szCs w:val="20"/>
              </w:rPr>
              <w:t>支持海外知识产权保护援助机构建设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 w:cs="Times New Roman"/>
                <w:b w:val="0"/>
                <w:color w:val="000000"/>
                <w:sz w:val="24"/>
                <w:szCs w:val="20"/>
              </w:rPr>
              <w:t>支持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szCs w:val="20"/>
              </w:rPr>
              <w:t>知识产权</w:t>
            </w:r>
            <w:r>
              <w:rPr>
                <w:rFonts w:hint="default" w:ascii="宋体" w:hAnsi="宋体" w:eastAsia="宋体" w:cs="Times New Roman"/>
                <w:b w:val="0"/>
                <w:color w:val="000000"/>
                <w:sz w:val="24"/>
                <w:szCs w:val="20"/>
              </w:rPr>
              <w:t>侵权纠纷案件行政裁决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知识产权宣传活动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107.11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77.11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建设高校专利转移转化中心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1,200.00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720.00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支持知识产权服务机构引入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</w:t>
            </w:r>
            <w:r>
              <w:rPr>
                <w:rFonts w:ascii="宋体" w:hAnsi="宋体"/>
                <w:color w:val="000000"/>
                <w:sz w:val="24"/>
              </w:rPr>
              <w:t>高端人才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待定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知识产权密集型产业高价值专利培育转化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5,500.00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3,300.00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szCs w:val="20"/>
                <w:lang w:eastAsia="zh-CN"/>
              </w:rPr>
              <w:t>高校和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szCs w:val="20"/>
              </w:rPr>
              <w:t>知识产权密集型产业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szCs w:val="20"/>
                <w:lang w:eastAsia="zh-CN"/>
              </w:rPr>
              <w:t>高价值专利培育运营技术和数据支持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建设中国（广州）国际知识产权运营中心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2,500.00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1,500.00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支持举办2020年知识产权交易博览会等大型活动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600.00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eastAsia="Calibri" w:cs="黑体"/>
                <w:b w:val="0"/>
                <w:bCs w:val="0"/>
                <w:color w:val="000000"/>
                <w:sz w:val="24"/>
                <w:szCs w:val="24"/>
              </w:rPr>
              <w:t>地理标志运用促进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Calibri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Calibri"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Calibri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Calibri"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合计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1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,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7.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7787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.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5,050.00 </w:t>
            </w:r>
          </w:p>
        </w:tc>
      </w:tr>
    </w:tbl>
    <w:p>
      <w:pPr>
        <w:sectPr>
          <w:pgSz w:w="16838" w:h="11906" w:orient="landscape"/>
          <w:pgMar w:top="1519" w:right="1440" w:bottom="1519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272DB"/>
    <w:rsid w:val="6C6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2019-10-22T01:38:00Z</dcterms:created>
  <dc:creator>董大宾</dc:creator>
  <cp:lastModifiedBy>董大宾</cp:lastModifiedBy>
  <dcterms:modified xsi:type="dcterms:W3CDTF">2019-10-22T01:40:51Z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