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hint="eastAsia" w:eastAsia="方正仿宋_GBK" w:cs="Times New Roman"/>
          <w:bCs/>
          <w:szCs w:val="32"/>
          <w:lang w:val="en-US" w:eastAsia="zh-CN"/>
        </w:rPr>
      </w:pPr>
      <w:r>
        <w:rPr>
          <w:rFonts w:hint="eastAsia" w:ascii="方正黑体_GBK" w:hAnsi="方正黑体_GBK" w:eastAsia="方正黑体_GBK" w:cs="方正黑体_GBK"/>
          <w:bCs/>
          <w:szCs w:val="32"/>
          <w:lang w:val="en-US" w:eastAsia="zh-CN"/>
        </w:rPr>
        <w:t>附件</w:t>
      </w:r>
      <w:r>
        <w:rPr>
          <w:rFonts w:hint="eastAsia" w:eastAsia="方正仿宋_GBK" w:cs="Times New Roman"/>
          <w:bCs/>
          <w:szCs w:val="32"/>
          <w:lang w:val="en-US" w:eastAsia="zh-CN"/>
        </w:rPr>
        <w:t>2</w:t>
      </w: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《广州市专利管理条例》</w:t>
      </w:r>
      <w:r>
        <w:rPr>
          <w:rFonts w:hint="eastAsia" w:ascii="方正小标宋_GBK" w:hAnsi="方正小标宋_GBK" w:eastAsia="方正小标宋_GBK" w:cs="方正小标宋_GBK"/>
          <w:sz w:val="44"/>
          <w:szCs w:val="44"/>
          <w:lang w:eastAsia="zh-CN"/>
        </w:rPr>
        <w:t>（修订征求意见稿）的</w:t>
      </w:r>
      <w:r>
        <w:rPr>
          <w:rFonts w:hint="eastAsia" w:ascii="方正小标宋_GBK" w:hAnsi="方正小标宋_GBK" w:eastAsia="方正小标宋_GBK" w:cs="方正小标宋_GBK"/>
          <w:sz w:val="44"/>
          <w:szCs w:val="44"/>
        </w:rPr>
        <w:t>说明</w:t>
      </w:r>
    </w:p>
    <w:bookmarkEnd w:id="0"/>
    <w:p>
      <w:pPr>
        <w:spacing w:line="600" w:lineRule="exact"/>
        <w:rPr>
          <w:rFonts w:ascii="Calibri" w:hAnsi="Calibri" w:eastAsia="宋体" w:cs="Times New Roman"/>
        </w:rPr>
      </w:pPr>
    </w:p>
    <w:p>
      <w:pPr>
        <w:spacing w:line="600" w:lineRule="exact"/>
        <w:ind w:firstLine="640" w:firstLineChars="200"/>
        <w:rPr>
          <w:rFonts w:ascii="方正黑体_GBK" w:hAnsi="方正黑体_GBK" w:eastAsia="方正黑体_GBK" w:cs="方正黑体_GBK"/>
          <w:sz w:val="32"/>
          <w:szCs w:val="32"/>
        </w:rPr>
      </w:pPr>
      <w:r>
        <w:rPr>
          <w:rFonts w:hint="eastAsia" w:ascii="Times New Roman" w:hAnsi="Times New Roman" w:eastAsia="方正仿宋_GBK" w:cs="Times New Roman"/>
          <w:sz w:val="32"/>
          <w:szCs w:val="32"/>
        </w:rPr>
        <w:t>为了鼓励发明创造，促进专利运用，加强专利保护，维护专利权人的合法权益，激发社会创新活力，根据《中华人民共和国专利法》《广东省专利条例》《广东省知识产权保护条例》</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有关法律法规</w:t>
      </w:r>
      <w:r>
        <w:rPr>
          <w:rFonts w:ascii="Times New Roman" w:hAnsi="Times New Roman" w:eastAsia="方正仿宋_GBK" w:cs="Times New Roman"/>
          <w:sz w:val="32"/>
          <w:szCs w:val="32"/>
        </w:rPr>
        <w:t>规定，结合广州实际，</w:t>
      </w:r>
      <w:r>
        <w:rPr>
          <w:rFonts w:hint="eastAsia" w:ascii="Times New Roman" w:hAnsi="Times New Roman" w:eastAsia="方正仿宋_GBK" w:cs="Times New Roman"/>
          <w:sz w:val="32"/>
          <w:szCs w:val="32"/>
        </w:rPr>
        <w:t>广州市市场监督管理局</w:t>
      </w:r>
      <w:r>
        <w:rPr>
          <w:rFonts w:hint="eastAsia" w:ascii="Times New Roman" w:hAnsi="Times New Roman" w:eastAsia="方正仿宋_GBK" w:cs="Times New Roman"/>
          <w:sz w:val="32"/>
          <w:szCs w:val="32"/>
          <w:lang w:eastAsia="zh-CN"/>
        </w:rPr>
        <w:t>按照立法计划，</w:t>
      </w:r>
      <w:r>
        <w:rPr>
          <w:rFonts w:hint="eastAsia" w:ascii="Times New Roman" w:hAnsi="Times New Roman" w:eastAsia="方正仿宋_GBK" w:cs="Times New Roman"/>
          <w:sz w:val="32"/>
          <w:szCs w:val="32"/>
        </w:rPr>
        <w:t>组织</w:t>
      </w:r>
      <w:r>
        <w:rPr>
          <w:rFonts w:hint="eastAsia" w:ascii="Times New Roman" w:hAnsi="Times New Roman" w:eastAsia="方正仿宋_GBK" w:cs="Times New Roman"/>
          <w:sz w:val="32"/>
          <w:szCs w:val="32"/>
          <w:lang w:eastAsia="zh-CN"/>
        </w:rPr>
        <w:t>修订</w:t>
      </w:r>
      <w:r>
        <w:rPr>
          <w:rFonts w:hint="eastAsia" w:ascii="Times New Roman" w:hAnsi="Times New Roman" w:eastAsia="方正仿宋_GBK" w:cs="Times New Roman"/>
          <w:sz w:val="32"/>
          <w:szCs w:val="32"/>
        </w:rPr>
        <w:t>《广州市专利管理条例》（以下简称“《条例》”）。现将有关情况说明如下：</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一、修订的背景与必要性</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《条例》颁行于2001年并于2011年修正，实施期间对广州市专利管理工作中发挥了重要作用，但其适用范围中专利创造、运用、保护以及服务规则比重偏少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近年来，国家对知识产权工作作出了新的规划和部署。《条例》已不能满足新形势新任务新要求对专利创造、运用、保护、管理、服务等工作要求，难以支撑本市专利工作在全国的领先地位与先进优势。主要立法必要性如下：</w:t>
      </w:r>
    </w:p>
    <w:p>
      <w:pPr>
        <w:spacing w:line="600" w:lineRule="exact"/>
        <w:ind w:firstLine="643" w:firstLineChars="200"/>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（一）修订《条例》是适应专利管理工作新形势和新任务的需要。</w:t>
      </w:r>
      <w:r>
        <w:rPr>
          <w:rFonts w:hint="eastAsia" w:eastAsia="方正仿宋_GBK" w:cs="Times New Roman"/>
          <w:b w:val="0"/>
          <w:bCs w:val="0"/>
          <w:sz w:val="32"/>
          <w:szCs w:val="32"/>
          <w:lang w:eastAsia="zh-CN"/>
        </w:rPr>
        <w:t>自</w:t>
      </w:r>
      <w:r>
        <w:rPr>
          <w:rFonts w:hint="eastAsia" w:ascii="Times New Roman" w:hAnsi="Times New Roman" w:eastAsia="方正仿宋_GBK" w:cs="Times New Roman"/>
          <w:sz w:val="32"/>
          <w:szCs w:val="32"/>
        </w:rPr>
        <w:t>《条例》修正至今，不仅广州市的经济水平和专利发展情况发生了改变，专利相关法律法规和重要政策也有了新变化。党中央、国务院先后印发《关于强化知识产权保护的意见》《知识产权强国建设纲要（2021—2035年）》等重要文件，同时广州市入选全国首批国家知识产权强市建设示范城市、国家知识产权保护示范区，也对专利管理工作提出了新的要求。</w:t>
      </w:r>
    </w:p>
    <w:p>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（二）修订《条例》是加强地方知识产权领域法治保障的需要。</w:t>
      </w:r>
      <w:r>
        <w:rPr>
          <w:rFonts w:hint="eastAsia" w:ascii="Times New Roman" w:hAnsi="Times New Roman" w:eastAsia="方正仿宋_GBK" w:cs="Times New Roman"/>
          <w:sz w:val="32"/>
          <w:szCs w:val="32"/>
        </w:rPr>
        <w:t>党的二十大报告明确要加强知识产权法治保障，形成支持全面创新的基础制度。在专利法律法规体系方面，2020年全国人大常委会对《中华人民共和国专利法》进行了修正，2022年广东省人大制定实施《广东省知识产权保护条例》，2023年国务院对《中华人民共和国专利法实施细则》进行了修订。在上位法进行了修改调整和新增的情况下，《广州市专利管理条例》的部分内容已不能与上位法相适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需结合广州市专利创造质量提升、专利技术转化、加强专利权保护等工作实际，相应地修改和完善。</w:t>
      </w:r>
    </w:p>
    <w:p>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（三）修订《条例》是打造广州知识产权保护和运用高地的需要。</w:t>
      </w:r>
      <w:r>
        <w:rPr>
          <w:rFonts w:hint="eastAsia" w:ascii="Times New Roman" w:hAnsi="Times New Roman" w:eastAsia="方正仿宋_GBK" w:cs="Times New Roman"/>
          <w:sz w:val="32"/>
          <w:szCs w:val="32"/>
        </w:rPr>
        <w:t>广州具有良好的专利工作基础，在有效发明专利量以及万人发明专利拥有量等方面走在国内前列，但仍存在瓶颈。《条例》的修订对创新主体、专利服务机构、管理专利工作的部门等相关主体都具有积极作用，通过</w:t>
      </w:r>
      <w:r>
        <w:rPr>
          <w:rFonts w:hint="eastAsia" w:ascii="方正仿宋_GBK" w:hAnsi="方正仿宋_GBK" w:eastAsia="方正仿宋_GBK" w:cs="方正仿宋_GBK"/>
          <w:sz w:val="32"/>
          <w:szCs w:val="32"/>
        </w:rPr>
        <w:t>加强</w:t>
      </w:r>
      <w:r>
        <w:rPr>
          <w:rFonts w:hint="eastAsia" w:ascii="Times New Roman" w:hAnsi="Times New Roman" w:eastAsia="方正仿宋_GBK" w:cs="Times New Roman"/>
          <w:sz w:val="32"/>
          <w:szCs w:val="32"/>
        </w:rPr>
        <w:t>《条例》的</w:t>
      </w:r>
      <w:r>
        <w:rPr>
          <w:rFonts w:hint="eastAsia" w:ascii="方正仿宋_GBK" w:hAnsi="方正仿宋_GBK" w:eastAsia="方正仿宋_GBK" w:cs="方正仿宋_GBK"/>
          <w:sz w:val="32"/>
          <w:szCs w:val="32"/>
        </w:rPr>
        <w:t>操作性和执行力，能为打击专利侵权违法行为提供有效的约束依据和执法手段，</w:t>
      </w:r>
      <w:r>
        <w:rPr>
          <w:rFonts w:hint="eastAsia" w:ascii="Times New Roman" w:hAnsi="Times New Roman" w:eastAsia="方正仿宋_GBK" w:cs="Times New Roman"/>
          <w:sz w:val="32"/>
          <w:szCs w:val="32"/>
        </w:rPr>
        <w:t>能够切实促进广州市创新氛围的营造与专利事业的长足发展，推动广州打造知识产权运用和保护高地。</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二、《条例》的修订思路和主要依据</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条例》的修订思路是全面贯彻党的二十大精神，贯彻落实习近平总书记对知识产权保护的重要指示，加强知识产权法治保障，形成支持全面创新的基础制度，以专利的创造、运用、保护、管理、服务全链条为重点，促进专利高质量创造与运用，加强专利保护，提升专利服务质量，全面激发社会创新活力，切实促进广州市专利事业的长足发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修订的</w:t>
      </w:r>
      <w:r>
        <w:rPr>
          <w:rFonts w:hint="eastAsia" w:ascii="Times New Roman" w:hAnsi="Times New Roman" w:eastAsia="方正仿宋_GBK" w:cs="Times New Roman"/>
          <w:sz w:val="32"/>
          <w:szCs w:val="32"/>
        </w:rPr>
        <w:t>主要依据是《中华人民共和国专利法》《中华人民共和国专利法实施细则》《广东省专利条例》《广东省知识产权保护条例》等有关法律法规</w:t>
      </w:r>
      <w:r>
        <w:rPr>
          <w:rFonts w:hint="eastAsia" w:ascii="Times New Roman" w:hAnsi="Times New Roman" w:eastAsia="方正仿宋_GBK" w:cs="Times New Roman"/>
          <w:sz w:val="32"/>
          <w:szCs w:val="32"/>
          <w:lang w:eastAsia="zh-CN"/>
        </w:rPr>
        <w:t>，以及</w:t>
      </w:r>
      <w:r>
        <w:rPr>
          <w:rFonts w:hint="eastAsia" w:ascii="Times New Roman" w:hAnsi="Times New Roman" w:eastAsia="方正仿宋_GBK" w:cs="Times New Roman"/>
          <w:sz w:val="32"/>
          <w:szCs w:val="32"/>
        </w:rPr>
        <w:t>《中共中央办公厅 国务院办公厅印发〈关于强化知识产权保护的意见〉》《知识产权强国建设纲要（2021－2035年）》《“十四五”国家知识产权保护和运用规划》《国家知识产权局办公室关于开展专利侵权纠纷行政裁决示范建设工作的通知》《广东省知识产权保护和运用“十四五”规划》《广州市国家知识产权强市建设示范城市工作方案（2022—2025年）》《广州市国家知识产权保护示范区建设方案》等</w:t>
      </w:r>
      <w:r>
        <w:rPr>
          <w:rFonts w:hint="eastAsia" w:ascii="Times New Roman" w:hAnsi="Times New Roman" w:eastAsia="方正仿宋_GBK" w:cs="Times New Roman"/>
          <w:sz w:val="32"/>
          <w:szCs w:val="32"/>
          <w:lang w:eastAsia="zh-CN"/>
        </w:rPr>
        <w:t>政策文件，同时</w:t>
      </w:r>
      <w:r>
        <w:rPr>
          <w:rFonts w:hint="eastAsia" w:ascii="Times New Roman" w:hAnsi="Times New Roman" w:eastAsia="方正仿宋_GBK" w:cs="Times New Roman"/>
          <w:sz w:val="32"/>
          <w:szCs w:val="32"/>
        </w:rPr>
        <w:t>吸纳我市实践经验，并参考和借鉴了北京、上海、天津、辽宁、江苏、浙江、深圳、南京、武汉等省市的实践做法。</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三、《条例》拟修订的具体内容</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《条例》拟从以下方面修订完善条款，强化专利制度的保障：</w:t>
      </w:r>
    </w:p>
    <w:p>
      <w:pPr>
        <w:spacing w:line="60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一是</w:t>
      </w:r>
      <w:r>
        <w:rPr>
          <w:rFonts w:hint="eastAsia" w:ascii="Times New Roman" w:hAnsi="Times New Roman" w:eastAsia="方正仿宋_GBK" w:cs="Times New Roman"/>
          <w:b/>
          <w:bCs/>
          <w:sz w:val="32"/>
          <w:szCs w:val="32"/>
        </w:rPr>
        <w:t>对《条例》“专利管理”的外延作了界定。</w:t>
      </w:r>
      <w:r>
        <w:rPr>
          <w:rFonts w:hint="eastAsia" w:ascii="Times New Roman" w:hAnsi="Times New Roman" w:eastAsia="方正仿宋_GBK" w:cs="Times New Roman"/>
          <w:sz w:val="32"/>
          <w:szCs w:val="32"/>
        </w:rPr>
        <w:t>根据知识产权发展导向和专利工作的实际，将专利的创造、运用、保护、管理、服务及相关工作纳入《条例》范畴，对条例体系进行修改完善。</w:t>
      </w:r>
    </w:p>
    <w:p>
      <w:pPr>
        <w:spacing w:line="60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二是</w:t>
      </w:r>
      <w:r>
        <w:rPr>
          <w:rFonts w:hint="eastAsia" w:ascii="Times New Roman" w:hAnsi="Times New Roman" w:eastAsia="方正仿宋_GBK" w:cs="Times New Roman"/>
          <w:b/>
          <w:bCs/>
          <w:sz w:val="32"/>
          <w:szCs w:val="32"/>
        </w:rPr>
        <w:t>强调专利高质量创造与运用。</w:t>
      </w:r>
      <w:r>
        <w:rPr>
          <w:rFonts w:hint="eastAsia" w:ascii="Times New Roman" w:hAnsi="Times New Roman" w:eastAsia="方正仿宋_GBK" w:cs="Times New Roman"/>
          <w:sz w:val="32"/>
          <w:szCs w:val="32"/>
        </w:rPr>
        <w:t>根据《“十四五”国家知识产权保护和运用规划》和《知识产权强国建设纲要（2021—2035年）》提出要更好保护和激励高价值专利的要求，鼓励专利高质量创造、推动专利成果高质量转化运用，同时强调促进专利技术的运用和转化，实现专利技术价值和效能，结合专利声明、专利导航与分析评议、专利运营等内容，充分激发专利运用市场活力。</w:t>
      </w:r>
    </w:p>
    <w:p>
      <w:pPr>
        <w:pStyle w:val="2"/>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三是</w:t>
      </w:r>
      <w:r>
        <w:rPr>
          <w:rFonts w:hint="eastAsia" w:ascii="Times New Roman" w:hAnsi="Times New Roman" w:eastAsia="方正仿宋_GBK" w:cs="Times New Roman"/>
          <w:b/>
          <w:bCs/>
          <w:sz w:val="32"/>
          <w:szCs w:val="32"/>
        </w:rPr>
        <w:t>加强专利保护的操作性和协调性。</w:t>
      </w:r>
      <w:r>
        <w:rPr>
          <w:rFonts w:hint="eastAsia" w:ascii="方正仿宋_GBK" w:eastAsia="方正仿宋_GBK" w:cs="仿宋"/>
          <w:kern w:val="2"/>
          <w:sz w:val="32"/>
          <w:szCs w:val="32"/>
        </w:rPr>
        <w:t>通过本次修订将广州近年在专利行政执法中积累了的成功实践经验进行固化，如专利侵权纠纷行政裁决案件实行立案登记制、专利侵权纠纷行政裁决快速处理机制、专利纠纷多元解决机制、技术支撑等。</w:t>
      </w:r>
    </w:p>
    <w:p>
      <w:pPr>
        <w:pStyle w:val="2"/>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四是</w:t>
      </w:r>
      <w:r>
        <w:rPr>
          <w:rFonts w:hint="eastAsia" w:ascii="Times New Roman" w:hAnsi="Times New Roman" w:eastAsia="方正仿宋_GBK" w:cs="Times New Roman"/>
          <w:b/>
          <w:bCs/>
          <w:sz w:val="32"/>
          <w:szCs w:val="32"/>
        </w:rPr>
        <w:t>重点加强海外专利布局和保护。</w:t>
      </w:r>
      <w:r>
        <w:rPr>
          <w:rFonts w:hint="eastAsia" w:ascii="Times New Roman" w:hAnsi="Times New Roman" w:eastAsia="方正仿宋_GBK" w:cs="Times New Roman"/>
          <w:sz w:val="32"/>
          <w:szCs w:val="32"/>
        </w:rPr>
        <w:t>通过海外专利布局、海外风险预警以及海外维权援助</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相关规定，给企业等创新主体在海外专利布局战略、海外专利维权等实务方面以引导和帮助，进一步保障企业在海外拓展中的产业安全。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68A82E7F"/>
    <w:rsid w:val="68A8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2024-05-22T02:32:00Z</dcterms:created>
  <dc:creator>叶菲</dc:creator>
  <cp:lastModifiedBy>叶菲</cp:lastModifiedBy>
  <dcterms:modified xsi:type="dcterms:W3CDTF">2024-05-22T02:32:48Z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90AC250CAC43457A8763940B69BC4A2F_11</vt:lpwstr>
  </property>
</Properties>
</file>