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7072" w:hanging="7080" w:hangingChars="2000"/>
        <w:rPr>
          <w:rFonts w:hint="eastAsia" w:ascii="仿宋_GB2312" w:eastAsia="仿宋_GB2312" w:cs="仿宋_GB2312"/>
          <w:sz w:val="28"/>
          <w:szCs w:val="28"/>
        </w:rPr>
      </w:pPr>
      <w:r>
        <w:rPr>
          <w:rFonts w:hint="eastAsia" w:ascii="仿宋_GB2312" w:hAnsi="方正小标宋简体" w:eastAsia="仿宋_GB2312" w:cs="方正小标宋简体"/>
          <w:sz w:val="36"/>
          <w:szCs w:val="36"/>
        </w:rPr>
        <w:t xml:space="preserve">                            </w:t>
      </w:r>
      <w:r>
        <w:rPr>
          <w:rFonts w:hint="eastAsia" w:ascii="仿宋_GB2312" w:eastAsia="仿宋_GB2312" w:cs="仿宋_GB2312"/>
          <w:sz w:val="32"/>
          <w:szCs w:val="32"/>
        </w:rPr>
        <w:t xml:space="preserve">                </w:t>
      </w:r>
      <w:r>
        <w:rPr>
          <w:rFonts w:hint="eastAsia" w:ascii="仿宋_GB2312" w:eastAsia="仿宋_GB2312" w:cs="仿宋_GB2312"/>
          <w:sz w:val="28"/>
          <w:szCs w:val="28"/>
        </w:rPr>
        <w:t>编号：XXXXX</w:t>
      </w:r>
      <w:r>
        <w:rPr>
          <w:rFonts w:hint="eastAsia" w:ascii="仿宋_GB2312" w:eastAsia="仿宋_GB2312" w:cs="仿宋_GB2312"/>
          <w:sz w:val="32"/>
          <w:szCs w:val="32"/>
        </w:rPr>
        <w:t xml:space="preserve">                </w:t>
      </w:r>
    </w:p>
    <w:p>
      <w:pPr>
        <w:ind w:firstLine="1770" w:firstLineChars="500"/>
        <w:rPr>
          <w:rFonts w:hint="eastAsia" w:ascii="仿宋_GB2312" w:hAnsi="方正小标宋简体" w:eastAsia="仿宋_GB2312" w:cs="方正小标宋简体"/>
          <w:sz w:val="36"/>
          <w:szCs w:val="36"/>
        </w:rPr>
      </w:pPr>
    </w:p>
    <w:p>
      <w:pPr>
        <w:ind w:firstLine="1770" w:firstLineChars="500"/>
        <w:rPr>
          <w:rFonts w:hint="eastAsia" w:ascii="仿宋_GB2312" w:hAnsi="方正小标宋简体" w:eastAsia="仿宋_GB2312" w:cs="方正小标宋简体"/>
          <w:sz w:val="36"/>
          <w:szCs w:val="36"/>
        </w:rPr>
      </w:pPr>
    </w:p>
    <w:p>
      <w:pPr>
        <w:ind w:firstLine="1770" w:firstLineChars="500"/>
        <w:rPr>
          <w:rFonts w:hint="eastAsia" w:ascii="仿宋_GB2312" w:hAnsi="方正小标宋简体" w:eastAsia="仿宋_GB2312" w:cs="方正小标宋简体"/>
          <w:sz w:val="36"/>
          <w:szCs w:val="36"/>
        </w:rPr>
      </w:pPr>
    </w:p>
    <w:p>
      <w:pPr>
        <w:ind w:firstLine="1770" w:firstLineChars="500"/>
        <w:rPr>
          <w:rFonts w:hint="eastAsia" w:ascii="仿宋_GB2312" w:hAnsi="方正小标宋简体" w:eastAsia="仿宋_GB2312" w:cs="方正小标宋简体"/>
          <w:sz w:val="36"/>
          <w:szCs w:val="36"/>
        </w:rPr>
      </w:pPr>
    </w:p>
    <w:p>
      <w:pPr>
        <w:jc w:val="center"/>
        <w:rPr>
          <w:rFonts w:hint="eastAsia" w:ascii="仿宋_GB2312" w:hAnsi="方正小标宋简体" w:eastAsia="仿宋_GB2312" w:cs="方正小标宋简体"/>
          <w:b/>
          <w:bCs/>
          <w:sz w:val="44"/>
          <w:szCs w:val="44"/>
        </w:rPr>
      </w:pPr>
      <w:r>
        <w:rPr>
          <w:rFonts w:hint="eastAsia" w:ascii="仿宋_GB2312" w:hAnsi="方正小标宋简体" w:eastAsia="仿宋_GB2312" w:cs="方正小标宋简体"/>
          <w:b/>
          <w:bCs/>
          <w:sz w:val="44"/>
          <w:szCs w:val="44"/>
          <w:lang w:eastAsia="zh-CN"/>
        </w:rPr>
        <w:t>广州市</w:t>
      </w:r>
      <w:r>
        <w:rPr>
          <w:rFonts w:hint="eastAsia" w:ascii="仿宋_GB2312" w:hAnsi="方正小标宋简体" w:eastAsia="仿宋_GB2312" w:cs="方正小标宋简体"/>
          <w:b/>
          <w:bCs/>
          <w:sz w:val="44"/>
          <w:szCs w:val="44"/>
        </w:rPr>
        <w:t>“食在广州”星级</w:t>
      </w:r>
    </w:p>
    <w:p>
      <w:pPr>
        <w:jc w:val="center"/>
        <w:rPr>
          <w:rFonts w:hint="eastAsia" w:ascii="仿宋_GB2312" w:hAnsi="方正小标宋简体" w:eastAsia="仿宋_GB2312" w:cs="方正小标宋简体"/>
          <w:b/>
          <w:bCs/>
          <w:sz w:val="44"/>
          <w:szCs w:val="44"/>
        </w:rPr>
      </w:pPr>
      <w:bookmarkStart w:id="0" w:name="_GoBack"/>
      <w:bookmarkEnd w:id="0"/>
      <w:r>
        <w:rPr>
          <w:rFonts w:hint="eastAsia" w:ascii="仿宋_GB2312" w:hAnsi="方正小标宋简体" w:eastAsia="仿宋_GB2312" w:cs="方正小标宋简体"/>
          <w:b/>
          <w:bCs/>
          <w:sz w:val="44"/>
          <w:szCs w:val="44"/>
        </w:rPr>
        <w:t>评定技术规范（征求意见稿）</w:t>
      </w:r>
    </w:p>
    <w:p>
      <w:pPr>
        <w:jc w:val="center"/>
        <w:rPr>
          <w:rFonts w:hint="eastAsia" w:ascii="仿宋_GB2312" w:hAnsi="方正小标宋简体" w:eastAsia="仿宋_GB2312" w:cs="方正小标宋简体"/>
          <w:b/>
          <w:bCs/>
          <w:sz w:val="36"/>
          <w:szCs w:val="36"/>
        </w:rPr>
      </w:pPr>
      <w:r>
        <w:rPr>
          <w:rFonts w:hint="eastAsia" w:ascii="仿宋_GB2312" w:hAnsi="方正小标宋简体" w:eastAsia="仿宋_GB2312" w:cs="方正小标宋简体"/>
          <w:b/>
          <w:bCs/>
          <w:sz w:val="36"/>
          <w:szCs w:val="36"/>
        </w:rPr>
        <w:t>(餐饮单位)</w:t>
      </w: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rPr>
          <w:rFonts w:hint="eastAsia" w:ascii="仿宋_GB2312" w:hAnsi="方正小标宋简体" w:eastAsia="仿宋_GB2312" w:cs="方正小标宋简体"/>
          <w:b/>
          <w:bCs/>
          <w:sz w:val="36"/>
          <w:szCs w:val="36"/>
        </w:rPr>
      </w:pPr>
    </w:p>
    <w:p>
      <w:pPr>
        <w:jc w:val="center"/>
        <w:rPr>
          <w:rFonts w:hint="eastAsia" w:ascii="仿宋_GB2312" w:eastAsia="仿宋_GB2312" w:cs="仿宋_GB2312"/>
          <w:sz w:val="32"/>
          <w:szCs w:val="32"/>
          <w:u w:val="single"/>
        </w:rPr>
      </w:pPr>
      <w:r>
        <w:rPr>
          <w:rFonts w:hint="eastAsia" w:ascii="仿宋_GB2312" w:eastAsia="仿宋_GB2312" w:cs="仿宋_GB2312"/>
          <w:sz w:val="32"/>
          <w:szCs w:val="32"/>
          <w:u w:val="single"/>
        </w:rPr>
        <w:t>20XX-XX-XX 发布</w:t>
      </w:r>
      <w:r>
        <w:rPr>
          <w:rFonts w:hint="eastAsia" w:ascii="仿宋_GB2312" w:eastAsia="仿宋_GB2312" w:cs="仿宋_GB2312"/>
          <w:sz w:val="32"/>
          <w:szCs w:val="32"/>
          <w:u w:val="single"/>
        </w:rPr>
        <w:tab/>
      </w:r>
      <w:r>
        <w:rPr>
          <w:rFonts w:hint="eastAsia" w:ascii="仿宋_GB2312" w:eastAsia="仿宋_GB2312" w:cs="仿宋_GB2312"/>
          <w:sz w:val="32"/>
          <w:szCs w:val="32"/>
          <w:u w:val="single"/>
        </w:rPr>
        <w:tab/>
      </w:r>
      <w:r>
        <w:rPr>
          <w:rFonts w:hint="eastAsia" w:ascii="仿宋_GB2312" w:eastAsia="仿宋_GB2312" w:cs="仿宋_GB2312"/>
          <w:sz w:val="32"/>
          <w:szCs w:val="32"/>
          <w:u w:val="single"/>
        </w:rPr>
        <w:t xml:space="preserve">              </w:t>
      </w:r>
      <w:r>
        <w:rPr>
          <w:rFonts w:hint="eastAsia" w:ascii="仿宋_GB2312" w:eastAsia="仿宋_GB2312" w:cs="仿宋_GB2312"/>
          <w:sz w:val="32"/>
          <w:szCs w:val="32"/>
          <w:u w:val="single"/>
        </w:rPr>
        <w:tab/>
      </w:r>
      <w:r>
        <w:rPr>
          <w:rFonts w:hint="eastAsia" w:ascii="仿宋_GB2312" w:eastAsia="仿宋_GB2312" w:cs="仿宋_GB2312"/>
          <w:sz w:val="32"/>
          <w:szCs w:val="32"/>
          <w:u w:val="single"/>
        </w:rPr>
        <w:tab/>
      </w:r>
      <w:r>
        <w:rPr>
          <w:rFonts w:hint="eastAsia" w:ascii="仿宋_GB2312" w:eastAsia="仿宋_GB2312" w:cs="仿宋_GB2312"/>
          <w:sz w:val="32"/>
          <w:szCs w:val="32"/>
          <w:u w:val="single"/>
        </w:rPr>
        <w:t>20XX-XX-XX实施</w:t>
      </w:r>
    </w:p>
    <w:p>
      <w:pPr>
        <w:tabs>
          <w:tab w:val="left" w:pos="7296"/>
        </w:tabs>
        <w:jc w:val="center"/>
        <w:rPr>
          <w:rFonts w:hint="eastAsia" w:ascii="仿宋_GB2312" w:eastAsia="仿宋_GB2312" w:cs="仿宋_GB2312"/>
          <w:b/>
          <w:sz w:val="32"/>
          <w:szCs w:val="32"/>
        </w:rPr>
      </w:pPr>
      <w:r>
        <w:rPr>
          <w:rFonts w:hint="eastAsia" w:ascii="仿宋_GB2312" w:eastAsia="仿宋_GB2312" w:cs="仿宋_GB2312"/>
          <w:b/>
          <w:sz w:val="32"/>
          <w:szCs w:val="32"/>
        </w:rPr>
        <w:t>广州</w:t>
      </w:r>
      <w:r>
        <w:rPr>
          <w:rFonts w:hint="eastAsia" w:ascii="仿宋_GB2312" w:eastAsia="仿宋_GB2312" w:cs="仿宋_GB2312"/>
          <w:b/>
          <w:sz w:val="32"/>
          <w:szCs w:val="32"/>
          <w:lang w:eastAsia="zh-CN"/>
        </w:rPr>
        <w:t>市市场监督管理局</w:t>
      </w:r>
      <w:r>
        <w:rPr>
          <w:rFonts w:hint="eastAsia" w:ascii="仿宋_GB2312" w:eastAsia="仿宋_GB2312" w:cs="仿宋_GB2312"/>
          <w:b/>
          <w:sz w:val="32"/>
          <w:szCs w:val="32"/>
        </w:rPr>
        <w:t>发布</w:t>
      </w:r>
    </w:p>
    <w:p>
      <w:pPr>
        <w:widowControl/>
        <w:ind w:firstLine="4396" w:firstLineChars="1400"/>
        <w:jc w:val="left"/>
        <w:rPr>
          <w:rFonts w:hint="eastAsia" w:ascii="仿宋_GB2312" w:eastAsia="仿宋_GB2312" w:cs="仿宋_GB2312"/>
          <w:b/>
          <w:sz w:val="32"/>
          <w:szCs w:val="32"/>
        </w:rPr>
      </w:pPr>
      <w:r>
        <w:rPr>
          <w:rFonts w:hint="eastAsia" w:ascii="仿宋_GB2312" w:eastAsia="仿宋_GB2312" w:cs="仿宋_GB2312"/>
          <w:b/>
          <w:sz w:val="32"/>
          <w:szCs w:val="32"/>
        </w:rPr>
        <w:br w:type="page"/>
      </w:r>
      <w:r>
        <w:rPr>
          <w:rFonts w:hint="eastAsia" w:ascii="仿宋_GB2312" w:eastAsia="仿宋_GB2312" w:cs="仿宋_GB2312"/>
          <w:b/>
          <w:sz w:val="32"/>
          <w:szCs w:val="32"/>
        </w:rPr>
        <w:t>前言</w:t>
      </w:r>
    </w:p>
    <w:p>
      <w:pPr>
        <w:widowControl/>
        <w:jc w:val="left"/>
        <w:rPr>
          <w:rFonts w:hint="eastAsia" w:ascii="仿宋_GB2312" w:eastAsia="仿宋_GB2312" w:cs="仿宋_GB2312"/>
          <w:b/>
          <w:sz w:val="32"/>
          <w:szCs w:val="32"/>
        </w:rPr>
      </w:pPr>
    </w:p>
    <w:p>
      <w:pPr>
        <w:widowControl/>
        <w:ind w:firstLine="468" w:firstLineChars="200"/>
        <w:rPr>
          <w:rFonts w:hint="eastAsia" w:ascii="仿宋_GB2312" w:eastAsia="仿宋_GB2312" w:cs="仿宋_GB2312"/>
          <w:bCs/>
          <w:sz w:val="24"/>
        </w:rPr>
      </w:pPr>
      <w:r>
        <w:rPr>
          <w:rFonts w:hint="eastAsia" w:ascii="仿宋_GB2312" w:eastAsia="仿宋_GB2312" w:cs="仿宋_GB2312"/>
          <w:bCs/>
          <w:sz w:val="24"/>
        </w:rPr>
        <w:t>本规范由广州</w:t>
      </w:r>
      <w:r>
        <w:rPr>
          <w:rFonts w:hint="eastAsia" w:ascii="仿宋_GB2312" w:eastAsia="仿宋_GB2312" w:cs="仿宋_GB2312"/>
          <w:bCs/>
          <w:sz w:val="24"/>
          <w:lang w:eastAsia="zh-CN"/>
        </w:rPr>
        <w:t>市市场监督管理局</w:t>
      </w:r>
      <w:r>
        <w:rPr>
          <w:rFonts w:hint="eastAsia" w:ascii="仿宋_GB2312" w:eastAsia="仿宋_GB2312" w:cs="仿宋_GB2312"/>
          <w:bCs/>
          <w:sz w:val="24"/>
        </w:rPr>
        <w:t>提出，是“食在广州（餐饮单位）”认证的依据。</w:t>
      </w:r>
    </w:p>
    <w:p>
      <w:pPr>
        <w:widowControl/>
        <w:jc w:val="left"/>
        <w:rPr>
          <w:rFonts w:hint="eastAsia" w:ascii="仿宋_GB2312" w:eastAsia="仿宋_GB2312" w:cs="仿宋_GB2312"/>
          <w:bCs/>
          <w:sz w:val="24"/>
        </w:rPr>
      </w:pPr>
      <w:r>
        <w:rPr>
          <w:rFonts w:hint="eastAsia" w:ascii="仿宋_GB2312" w:eastAsia="仿宋_GB2312" w:cs="仿宋_GB2312"/>
          <w:bCs/>
          <w:sz w:val="24"/>
        </w:rPr>
        <w:t>本技术规范由广州</w:t>
      </w:r>
      <w:r>
        <w:rPr>
          <w:rFonts w:hint="eastAsia" w:ascii="仿宋_GB2312" w:eastAsia="仿宋_GB2312" w:cs="仿宋_GB2312"/>
          <w:bCs/>
          <w:sz w:val="24"/>
          <w:lang w:eastAsia="zh-CN"/>
        </w:rPr>
        <w:t>市市场监督管理局</w:t>
      </w:r>
      <w:r>
        <w:rPr>
          <w:rFonts w:hint="eastAsia" w:ascii="仿宋_GB2312" w:eastAsia="仿宋_GB2312" w:cs="仿宋_GB2312"/>
          <w:bCs/>
          <w:sz w:val="24"/>
        </w:rPr>
        <w:t>发布，版权归属广州</w:t>
      </w:r>
      <w:r>
        <w:rPr>
          <w:rFonts w:hint="eastAsia" w:ascii="仿宋_GB2312" w:eastAsia="仿宋_GB2312" w:cs="仿宋_GB2312"/>
          <w:bCs/>
          <w:sz w:val="24"/>
          <w:lang w:eastAsia="zh-CN"/>
        </w:rPr>
        <w:t>市市场监督管理局</w:t>
      </w:r>
      <w:r>
        <w:rPr>
          <w:rFonts w:hint="eastAsia" w:ascii="仿宋_GB2312" w:eastAsia="仿宋_GB2312" w:cs="仿宋_GB2312"/>
          <w:bCs/>
          <w:sz w:val="24"/>
        </w:rPr>
        <w:t>所有，任何组织及个人未经许可，不得以任何形式全部或部分使用。</w:t>
      </w:r>
    </w:p>
    <w:p>
      <w:pPr>
        <w:widowControl/>
        <w:ind w:firstLine="468"/>
        <w:jc w:val="left"/>
        <w:rPr>
          <w:rFonts w:hint="eastAsia" w:ascii="仿宋_GB2312" w:eastAsia="仿宋_GB2312" w:cs="仿宋_GB2312"/>
          <w:bCs/>
          <w:sz w:val="24"/>
          <w:lang w:eastAsia="zh-CN"/>
        </w:rPr>
      </w:pPr>
      <w:r>
        <w:rPr>
          <w:rFonts w:hint="eastAsia" w:ascii="仿宋_GB2312" w:eastAsia="仿宋_GB2312" w:cs="仿宋_GB2312"/>
          <w:bCs/>
          <w:sz w:val="24"/>
        </w:rPr>
        <w:t>起草单位：广州</w:t>
      </w:r>
      <w:r>
        <w:rPr>
          <w:rFonts w:hint="eastAsia" w:ascii="仿宋_GB2312" w:eastAsia="仿宋_GB2312" w:cs="仿宋_GB2312"/>
          <w:bCs/>
          <w:sz w:val="24"/>
          <w:lang w:eastAsia="zh-CN"/>
        </w:rPr>
        <w:t>市市场监督管理局</w:t>
      </w:r>
    </w:p>
    <w:p>
      <w:pPr>
        <w:widowControl/>
        <w:ind w:firstLine="468"/>
        <w:jc w:val="left"/>
        <w:rPr>
          <w:rFonts w:hint="eastAsia" w:ascii="仿宋_GB2312" w:eastAsia="仿宋_GB2312" w:cs="仿宋_GB2312"/>
          <w:bCs/>
          <w:sz w:val="24"/>
          <w:lang w:val="en-US" w:eastAsia="zh-CN"/>
        </w:rPr>
      </w:pPr>
      <w:r>
        <w:rPr>
          <w:rFonts w:hint="eastAsia" w:ascii="仿宋_GB2312" w:eastAsia="仿宋_GB2312" w:cs="仿宋_GB2312"/>
          <w:bCs/>
          <w:sz w:val="24"/>
        </w:rPr>
        <w:t>主要起草人：</w:t>
      </w:r>
      <w:r>
        <w:rPr>
          <w:rFonts w:hint="eastAsia" w:ascii="仿宋_GB2312" w:eastAsia="仿宋_GB2312" w:cs="仿宋_GB2312"/>
          <w:bCs/>
          <w:sz w:val="24"/>
          <w:lang w:eastAsia="zh-CN"/>
        </w:rPr>
        <w:t>“食在广州”起草工作组</w:t>
      </w:r>
    </w:p>
    <w:p>
      <w:pPr>
        <w:widowControl/>
        <w:jc w:val="left"/>
        <w:rPr>
          <w:rFonts w:hint="eastAsia" w:ascii="仿宋_GB2312" w:eastAsia="仿宋_GB2312" w:cs="仿宋_GB2312"/>
          <w:bCs/>
          <w:sz w:val="24"/>
        </w:rPr>
        <w:sectPr>
          <w:headerReference r:id="rId3" w:type="default"/>
          <w:footerReference r:id="rId4" w:type="default"/>
          <w:footerReference r:id="rId5" w:type="even"/>
          <w:pgSz w:w="11906" w:h="16838"/>
          <w:pgMar w:top="1440" w:right="1080" w:bottom="1440" w:left="1080" w:header="851" w:footer="1191" w:gutter="0"/>
          <w:cols w:space="0" w:num="1"/>
          <w:docGrid w:type="linesAndChars" w:linePitch="287" w:charSpace="-1313"/>
        </w:sectPr>
      </w:pPr>
      <w:r>
        <w:rPr>
          <w:rFonts w:hint="eastAsia" w:ascii="仿宋_GB2312" w:eastAsia="仿宋_GB2312" w:cs="仿宋_GB2312"/>
          <w:bCs/>
          <w:sz w:val="24"/>
        </w:rPr>
        <w:t xml:space="preserve">  </w:t>
      </w:r>
    </w:p>
    <w:p>
      <w:pPr>
        <w:jc w:val="center"/>
        <w:rPr>
          <w:rFonts w:hint="eastAsia" w:ascii="仿宋_GB2312" w:hAnsi="方正小标宋简体" w:eastAsia="仿宋_GB2312" w:cs="方正小标宋简体"/>
          <w:sz w:val="36"/>
          <w:szCs w:val="36"/>
        </w:rPr>
      </w:pPr>
      <w:r>
        <w:rPr>
          <w:rFonts w:hint="eastAsia" w:ascii="仿宋_GB2312" w:hAnsi="方正小标宋简体" w:eastAsia="仿宋_GB2312" w:cs="方正小标宋简体"/>
          <w:sz w:val="36"/>
          <w:szCs w:val="36"/>
        </w:rPr>
        <w:t>“食在广州”星级评定技术规范</w:t>
      </w:r>
    </w:p>
    <w:p>
      <w:pPr>
        <w:jc w:val="center"/>
        <w:rPr>
          <w:rFonts w:hint="eastAsia" w:ascii="仿宋_GB2312" w:hAnsi="宋体" w:eastAsia="仿宋_GB2312" w:cs="宋体"/>
          <w:sz w:val="28"/>
          <w:szCs w:val="28"/>
        </w:rPr>
      </w:pPr>
    </w:p>
    <w:p>
      <w:pPr>
        <w:spacing w:line="480" w:lineRule="auto"/>
        <w:jc w:val="left"/>
        <w:rPr>
          <w:rFonts w:hint="eastAsia" w:ascii="仿宋_GB2312" w:hAnsi="宋体" w:eastAsia="仿宋_GB2312" w:cs="宋体"/>
          <w:b/>
          <w:bCs/>
          <w:sz w:val="24"/>
        </w:rPr>
      </w:pPr>
      <w:r>
        <w:rPr>
          <w:rFonts w:hint="eastAsia" w:ascii="仿宋_GB2312" w:hAnsi="宋体" w:eastAsia="仿宋_GB2312" w:cs="宋体"/>
          <w:b/>
          <w:bCs/>
          <w:sz w:val="24"/>
        </w:rPr>
        <w:t>1 范围和目的</w:t>
      </w:r>
    </w:p>
    <w:p>
      <w:pPr>
        <w:spacing w:line="360" w:lineRule="auto"/>
        <w:ind w:firstLine="560"/>
        <w:jc w:val="left"/>
        <w:rPr>
          <w:rFonts w:hint="eastAsia" w:ascii="仿宋_GB2312" w:hAnsi="宋体" w:eastAsia="仿宋_GB2312" w:cs="宋体"/>
          <w:sz w:val="24"/>
        </w:rPr>
      </w:pPr>
      <w:r>
        <w:rPr>
          <w:rFonts w:hint="eastAsia" w:ascii="仿宋_GB2312" w:hAnsi="宋体" w:eastAsia="仿宋_GB2312" w:cs="宋体"/>
          <w:sz w:val="24"/>
        </w:rPr>
        <w:t>本规范适用于在广州市行政区域内，餐饮单位开展自我评价及第三方评定认证。</w:t>
      </w:r>
    </w:p>
    <w:p>
      <w:pPr>
        <w:spacing w:line="360" w:lineRule="auto"/>
        <w:ind w:firstLine="560"/>
        <w:jc w:val="left"/>
        <w:rPr>
          <w:rFonts w:hint="eastAsia" w:ascii="仿宋_GB2312" w:hAnsi="宋体" w:eastAsia="仿宋_GB2312" w:cs="宋体"/>
          <w:sz w:val="24"/>
        </w:rPr>
      </w:pPr>
      <w:r>
        <w:rPr>
          <w:rFonts w:hint="eastAsia" w:ascii="仿宋_GB2312" w:hAnsi="宋体" w:eastAsia="仿宋_GB2312" w:cs="宋体"/>
          <w:sz w:val="24"/>
        </w:rPr>
        <w:t>本规范规定了“食在广州”餐饮单位的评价方法、评价程序及等级划分依据。</w:t>
      </w:r>
    </w:p>
    <w:p>
      <w:pPr>
        <w:spacing w:line="360" w:lineRule="auto"/>
        <w:ind w:firstLine="560"/>
        <w:jc w:val="left"/>
        <w:rPr>
          <w:rFonts w:hint="eastAsia" w:ascii="仿宋_GB2312" w:hAnsi="宋体" w:eastAsia="仿宋_GB2312" w:cs="宋体"/>
          <w:sz w:val="24"/>
        </w:rPr>
      </w:pPr>
    </w:p>
    <w:p>
      <w:pPr>
        <w:spacing w:line="480" w:lineRule="auto"/>
        <w:jc w:val="left"/>
        <w:rPr>
          <w:rFonts w:hint="eastAsia" w:ascii="仿宋_GB2312" w:hAnsi="宋体" w:eastAsia="仿宋_GB2312" w:cs="宋体"/>
          <w:b/>
          <w:bCs/>
          <w:sz w:val="24"/>
        </w:rPr>
      </w:pPr>
      <w:r>
        <w:rPr>
          <w:rFonts w:hint="eastAsia" w:ascii="仿宋_GB2312" w:hAnsi="宋体" w:eastAsia="仿宋_GB2312" w:cs="宋体"/>
          <w:b/>
          <w:bCs/>
          <w:sz w:val="24"/>
        </w:rPr>
        <w:t xml:space="preserve">2 规范性引用文件 </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下列文件中内容通过文中的规范性引用而勾成本文件必不可少的条款。其中，注日期的引用文件，仅该日期的版本适用于本文件；不注日期的引用文件，其最新版本（包括所有的修改单）适用于本文件。</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GB/T 10001.1公共信息图形符号第1部分:通用符号</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GB/T 13391-2009 餐饮企业的等级划分和评定</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GB/T 22000 食品安全管理体系 食品链中各类组织的要求</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GB/T 27306 食品安全管理体系 餐饮业要求</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GB 31654 食品安全国家标准 餐饮服务通用卫生规范</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GB/T 33497 餐饮企业质量管理规范</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GB/T 42966 餐饮业反食品浪费管理通则</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SB/T 10580 餐饮企业现场管理规范</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SB/T 11043 餐饮业服务质量评估规范</w:t>
      </w:r>
    </w:p>
    <w:p>
      <w:pPr>
        <w:spacing w:line="480" w:lineRule="auto"/>
        <w:jc w:val="left"/>
        <w:rPr>
          <w:rFonts w:hint="eastAsia" w:ascii="仿宋_GB2312" w:hAnsi="宋体" w:eastAsia="仿宋_GB2312" w:cs="宋体"/>
          <w:b/>
          <w:bCs/>
          <w:sz w:val="24"/>
        </w:rPr>
      </w:pPr>
      <w:r>
        <w:rPr>
          <w:rFonts w:hint="eastAsia" w:ascii="仿宋_GB2312" w:hAnsi="宋体" w:eastAsia="仿宋_GB2312" w:cs="宋体"/>
          <w:b/>
          <w:bCs/>
          <w:sz w:val="24"/>
        </w:rPr>
        <w:t xml:space="preserve">3 术语和定义 </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下列术语和定义适用于本规范</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 xml:space="preserve">3.1 </w:t>
      </w:r>
    </w:p>
    <w:p>
      <w:pPr>
        <w:spacing w:line="360" w:lineRule="auto"/>
        <w:ind w:firstLine="482" w:firstLineChars="200"/>
        <w:jc w:val="left"/>
        <w:rPr>
          <w:rFonts w:hint="eastAsia" w:ascii="仿宋_GB2312" w:hAnsi="宋体" w:eastAsia="仿宋_GB2312" w:cs="宋体"/>
          <w:b/>
          <w:bCs/>
          <w:sz w:val="24"/>
        </w:rPr>
      </w:pPr>
      <w:r>
        <w:rPr>
          <w:rFonts w:hint="eastAsia" w:ascii="仿宋_GB2312" w:hAnsi="宋体" w:eastAsia="仿宋_GB2312" w:cs="宋体"/>
          <w:b/>
          <w:bCs/>
          <w:sz w:val="24"/>
        </w:rPr>
        <w:t>餐饮单位</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即时烹调加工、销售餐饮制品并为消费者提供就餐场所和消费服务的企业。</w:t>
      </w:r>
    </w:p>
    <w:p>
      <w:pPr>
        <w:spacing w:line="480" w:lineRule="auto"/>
        <w:jc w:val="left"/>
        <w:rPr>
          <w:rFonts w:hint="eastAsia" w:ascii="仿宋_GB2312" w:hAnsi="宋体" w:eastAsia="仿宋_GB2312" w:cs="宋体"/>
          <w:b/>
          <w:bCs/>
          <w:sz w:val="24"/>
        </w:rPr>
      </w:pPr>
      <w:r>
        <w:rPr>
          <w:rFonts w:hint="eastAsia" w:ascii="仿宋_GB2312" w:hAnsi="宋体" w:eastAsia="仿宋_GB2312" w:cs="宋体"/>
          <w:b/>
          <w:bCs/>
          <w:sz w:val="24"/>
        </w:rPr>
        <w:t>4 等级划分和划分标准</w:t>
      </w:r>
    </w:p>
    <w:p>
      <w:pPr>
        <w:spacing w:line="480" w:lineRule="auto"/>
        <w:jc w:val="left"/>
        <w:rPr>
          <w:rFonts w:hint="eastAsia" w:ascii="仿宋_GB2312" w:hAnsi="宋体" w:eastAsia="仿宋_GB2312" w:cs="宋体"/>
          <w:sz w:val="24"/>
        </w:rPr>
      </w:pPr>
      <w:r>
        <w:rPr>
          <w:rFonts w:hint="eastAsia" w:ascii="仿宋_GB2312" w:hAnsi="宋体" w:eastAsia="仿宋_GB2312" w:cs="宋体"/>
          <w:b/>
          <w:bCs/>
          <w:sz w:val="24"/>
        </w:rPr>
        <w:t>4.1 等级划分</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根据统一指标，通过对餐饮单位的市场反馈及消费者综合评价、食品安全管理体系、社会责任及品牌建设进行综合评价，评价等级分为三个等级，即三星级、四星级和五星级。</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4.2 等级划分评分指标</w:t>
      </w:r>
    </w:p>
    <w:p>
      <w:pPr>
        <w:spacing w:line="360" w:lineRule="auto"/>
        <w:ind w:firstLine="480"/>
        <w:jc w:val="left"/>
        <w:rPr>
          <w:rFonts w:hint="eastAsia" w:ascii="仿宋_GB2312" w:hAnsi="宋体" w:eastAsia="仿宋_GB2312" w:cs="宋体"/>
          <w:sz w:val="24"/>
        </w:rPr>
      </w:pPr>
      <w:r>
        <w:rPr>
          <w:rFonts w:hint="eastAsia" w:ascii="仿宋_GB2312" w:hAnsi="宋体" w:eastAsia="仿宋_GB2312" w:cs="宋体"/>
          <w:sz w:val="24"/>
        </w:rPr>
        <w:t>餐饮企业等级评定指标及等级划分标准见附录。</w:t>
      </w:r>
    </w:p>
    <w:p>
      <w:pPr>
        <w:spacing w:line="480" w:lineRule="auto"/>
        <w:jc w:val="left"/>
        <w:rPr>
          <w:rFonts w:hint="eastAsia" w:ascii="仿宋_GB2312" w:hAnsi="宋体" w:eastAsia="仿宋_GB2312" w:cs="宋体"/>
          <w:b/>
          <w:bCs/>
          <w:sz w:val="24"/>
        </w:rPr>
      </w:pPr>
      <w:r>
        <w:rPr>
          <w:rFonts w:hint="eastAsia" w:ascii="仿宋_GB2312" w:hAnsi="宋体" w:eastAsia="仿宋_GB2312" w:cs="宋体"/>
          <w:b/>
          <w:bCs/>
          <w:sz w:val="24"/>
        </w:rPr>
        <w:t>5 参评基本条件</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5.1 依法在广州市行政区域内登记注册，具有法人资格，并依法取得食品经营许可的餐饮单位。</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5.2 未列入国家信用信息严重失信主体。</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5.3 经营范围符合相关法律法规、标准和规范的要求。</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5.4 一年内未发生违反相关法律、法规的食品安全事故。</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5.5 三年内未因食品安全事故、违反国家食品安全管理相关法规或虚报、瞒报获证所需信息，而被认证机构撤销认证证书。</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5.6 需在正式经营一年后申请等级评定。企业的分店、附属店和连锁店可在单店运行六个月后申请等级评定，按各店提供服务的综合能力分别评定相应的等级。</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5.7 餐饮单位晋级需获得证书一年后进行申报。</w:t>
      </w:r>
    </w:p>
    <w:p>
      <w:pPr>
        <w:spacing w:line="360" w:lineRule="auto"/>
        <w:jc w:val="left"/>
        <w:rPr>
          <w:rFonts w:hint="eastAsia" w:ascii="仿宋_GB2312" w:hAnsi="宋体" w:eastAsia="仿宋_GB2312" w:cs="宋体"/>
          <w:sz w:val="24"/>
        </w:rPr>
      </w:pPr>
      <w:r>
        <w:rPr>
          <w:rFonts w:hint="eastAsia" w:ascii="仿宋_GB2312" w:hAnsi="宋体" w:eastAsia="仿宋_GB2312" w:cs="宋体"/>
          <w:sz w:val="24"/>
        </w:rPr>
        <w:t>5.8 认证证书有效期三年，每年进行年审，对等级予以确认，每三年重新评定。不参加年审餐饮单位视为自动放弃，将公告取消其资格并收回标志牌和证书。</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6 评价原则</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6.1 创新引领</w:t>
      </w:r>
    </w:p>
    <w:p>
      <w:pPr>
        <w:spacing w:line="360" w:lineRule="auto"/>
        <w:ind w:firstLine="240" w:firstLineChars="100"/>
        <w:jc w:val="left"/>
        <w:rPr>
          <w:rFonts w:hint="eastAsia" w:ascii="仿宋_GB2312" w:hAnsi="宋体" w:eastAsia="仿宋_GB2312" w:cs="宋体"/>
          <w:b/>
          <w:bCs/>
          <w:sz w:val="24"/>
        </w:rPr>
      </w:pPr>
      <w:r>
        <w:rPr>
          <w:rFonts w:hint="eastAsia" w:ascii="仿宋_GB2312" w:hAnsi="宋体" w:eastAsia="仿宋_GB2312" w:cs="宋体"/>
          <w:sz w:val="24"/>
        </w:rPr>
        <w:t>“食在广州”星级评定工作旨在推动广州市行政区域内的餐饮服务单位持续满足消费者需求及相关法律法规要求，持续保持创新动力，推动引领餐饮行业高质量发展，打造“质量优、特色强、品牌响”的广州区域品牌。</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6.2 科学公正</w:t>
      </w:r>
    </w:p>
    <w:p>
      <w:pPr>
        <w:spacing w:line="360" w:lineRule="auto"/>
        <w:ind w:firstLine="480"/>
        <w:jc w:val="left"/>
        <w:rPr>
          <w:rFonts w:hint="eastAsia" w:ascii="仿宋_GB2312" w:hAnsi="宋体" w:eastAsia="仿宋_GB2312" w:cs="宋体"/>
          <w:sz w:val="24"/>
        </w:rPr>
      </w:pPr>
      <w:r>
        <w:rPr>
          <w:rFonts w:hint="eastAsia" w:ascii="仿宋_GB2312" w:hAnsi="宋体" w:eastAsia="仿宋_GB2312" w:cs="宋体"/>
          <w:sz w:val="24"/>
        </w:rPr>
        <w:t>通过第三方评价机构保持评价的公正性，保证评价结果的合理性和科学性。</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6.3 全流程覆盖</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“食在广州”等级评定覆盖餐饮服务组织的各个流程和环节，全方位、多角度评价其符合程度。</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6.4 持续改进</w:t>
      </w:r>
    </w:p>
    <w:p>
      <w:pPr>
        <w:spacing w:line="360" w:lineRule="auto"/>
        <w:ind w:firstLine="480"/>
        <w:jc w:val="left"/>
        <w:rPr>
          <w:rFonts w:hint="eastAsia" w:ascii="仿宋_GB2312" w:hAnsi="宋体" w:eastAsia="仿宋_GB2312" w:cs="宋体"/>
          <w:sz w:val="24"/>
        </w:rPr>
      </w:pPr>
      <w:r>
        <w:rPr>
          <w:rFonts w:hint="eastAsia" w:ascii="仿宋_GB2312" w:hAnsi="宋体" w:eastAsia="仿宋_GB2312" w:cs="宋体"/>
          <w:sz w:val="24"/>
        </w:rPr>
        <w:t>“食在广州”等级星级评定应定期进行复查、监督、回访，坚持继续改进。</w:t>
      </w:r>
    </w:p>
    <w:p>
      <w:pPr>
        <w:spacing w:line="360" w:lineRule="auto"/>
        <w:jc w:val="left"/>
        <w:rPr>
          <w:rFonts w:hint="eastAsia" w:ascii="仿宋_GB2312" w:hAnsi="宋体" w:eastAsia="仿宋_GB2312" w:cs="宋体"/>
          <w:b/>
          <w:bCs/>
          <w:sz w:val="24"/>
        </w:rPr>
      </w:pPr>
      <w:r>
        <w:rPr>
          <w:rFonts w:hint="eastAsia" w:ascii="仿宋_GB2312" w:hAnsi="宋体" w:eastAsia="仿宋_GB2312" w:cs="宋体"/>
          <w:b/>
          <w:bCs/>
          <w:sz w:val="24"/>
        </w:rPr>
        <w:t>7 工作机构</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由广州市市场监督管理局组织成立“食在广州”星级评定工作机构，统筹管理“食在广州”星级评定工作，具体职责包括：</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——组织开展“食在广州”星级评定的申报工作；</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——研究制定“食在广州”星级评定工作方案和评审机制;</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——负责“食在广州”星级评定申请材料的受理和资格初审等；</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——组织和委托第三方专业认证机构进行评定认证；</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——公示和公布“食在广州”星级评定结果；</w:t>
      </w:r>
    </w:p>
    <w:p>
      <w:pPr>
        <w:spacing w:line="360" w:lineRule="auto"/>
        <w:ind w:firstLine="480" w:firstLineChars="200"/>
        <w:jc w:val="left"/>
        <w:rPr>
          <w:rFonts w:hint="eastAsia" w:ascii="仿宋_GB2312" w:hAnsi="宋体" w:eastAsia="仿宋_GB2312" w:cs="宋体"/>
          <w:sz w:val="24"/>
        </w:rPr>
      </w:pPr>
      <w:r>
        <w:rPr>
          <w:rFonts w:hint="eastAsia" w:ascii="仿宋_GB2312" w:hAnsi="宋体" w:eastAsia="仿宋_GB2312" w:cs="宋体"/>
          <w:sz w:val="24"/>
        </w:rPr>
        <w:t>——对评价结果及使用进行监督管理。</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 评价要求</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8.1 市场反馈及消费者综合评价</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 xml:space="preserve">8.1.1互联网平台消费者评价  </w:t>
      </w:r>
    </w:p>
    <w:p>
      <w:pPr>
        <w:spacing w:line="360" w:lineRule="auto"/>
        <w:rPr>
          <w:rFonts w:hint="eastAsia" w:ascii="仿宋_GB2312" w:hAnsi="宋体" w:eastAsia="仿宋_GB2312" w:cs="宋体"/>
          <w:sz w:val="24"/>
        </w:rPr>
      </w:pPr>
      <w:r>
        <w:rPr>
          <w:rFonts w:hint="eastAsia" w:ascii="仿宋_GB2312" w:hAnsi="宋体" w:eastAsia="仿宋_GB2312" w:cs="宋体"/>
          <w:sz w:val="24"/>
        </w:rPr>
        <w:t xml:space="preserve">    第三方认证机构通过收集近三年餐饮单位在主流餐饮消费点评网络平台的消费者评价及反馈情况，对餐饮单位整体评价进行加权评分。</w:t>
      </w:r>
    </w:p>
    <w:p>
      <w:pPr>
        <w:spacing w:line="360" w:lineRule="auto"/>
        <w:rPr>
          <w:rFonts w:hint="eastAsia" w:ascii="仿宋_GB2312" w:hAnsi="宋体" w:eastAsia="仿宋_GB2312" w:cs="宋体"/>
          <w:sz w:val="24"/>
        </w:rPr>
      </w:pPr>
      <w:r>
        <w:rPr>
          <w:rFonts w:hint="eastAsia" w:ascii="仿宋_GB2312" w:hAnsi="宋体" w:eastAsia="仿宋_GB2312" w:cs="宋体"/>
          <w:sz w:val="24"/>
        </w:rPr>
        <w:t xml:space="preserve">    网络平台应确保数据真实准确、来源可靠，严禁餐饮单位恶意刷分、雇佣水军等情况。</w:t>
      </w:r>
    </w:p>
    <w:p>
      <w:pPr>
        <w:pStyle w:val="9"/>
        <w:numPr>
          <w:ilvl w:val="2"/>
          <w:numId w:val="1"/>
        </w:numPr>
        <w:spacing w:line="360" w:lineRule="auto"/>
        <w:ind w:firstLineChars="0"/>
        <w:rPr>
          <w:rFonts w:hint="eastAsia" w:ascii="仿宋_GB2312" w:hAnsi="宋体" w:eastAsia="仿宋_GB2312" w:cs="宋体"/>
          <w:b/>
          <w:bCs/>
          <w:sz w:val="24"/>
        </w:rPr>
      </w:pPr>
      <w:r>
        <w:rPr>
          <w:rFonts w:hint="eastAsia" w:ascii="仿宋_GB2312" w:hAnsi="宋体" w:eastAsia="仿宋_GB2312" w:cs="宋体"/>
          <w:b/>
          <w:bCs/>
          <w:sz w:val="24"/>
        </w:rPr>
        <w:t>消费者投诉（12315</w:t>
      </w:r>
      <w:r>
        <w:rPr>
          <w:rFonts w:hint="eastAsia" w:ascii="仿宋_GB2312" w:hAnsi="宋体" w:eastAsia="仿宋_GB2312" w:cs="宋体"/>
          <w:b/>
          <w:bCs/>
          <w:sz w:val="24"/>
          <w:lang w:eastAsia="zh-CN"/>
        </w:rPr>
        <w:t>、</w:t>
      </w:r>
      <w:r>
        <w:rPr>
          <w:rFonts w:hint="eastAsia" w:ascii="仿宋_GB2312" w:hAnsi="宋体" w:eastAsia="仿宋_GB2312" w:cs="宋体"/>
          <w:b/>
          <w:bCs/>
          <w:sz w:val="24"/>
          <w:lang w:val="en-US" w:eastAsia="zh-CN"/>
        </w:rPr>
        <w:t>12345</w:t>
      </w:r>
      <w:r>
        <w:rPr>
          <w:rFonts w:hint="eastAsia" w:ascii="仿宋_GB2312" w:hAnsi="宋体" w:eastAsia="仿宋_GB2312" w:cs="宋体"/>
          <w:b/>
          <w:bCs/>
          <w:sz w:val="24"/>
        </w:rPr>
        <w:t>热线）</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第三方认证机构通过政府官方渠道收集消费者对餐饮单位近三年的投诉维权案例，综合餐饮单位对投诉案件的处理效率及处理情况进行评分。</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 食品安全管理体系</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8.2.1总体要求</w:t>
      </w:r>
    </w:p>
    <w:p>
      <w:pPr>
        <w:spacing w:line="360" w:lineRule="auto"/>
        <w:rPr>
          <w:rFonts w:hint="eastAsia" w:ascii="仿宋_GB2312" w:hAnsi="宋体" w:eastAsia="仿宋_GB2312" w:cs="宋体"/>
          <w:sz w:val="24"/>
        </w:rPr>
      </w:pPr>
      <w:r>
        <w:rPr>
          <w:rFonts w:hint="eastAsia" w:ascii="仿宋_GB2312" w:hAnsi="宋体" w:eastAsia="仿宋_GB2312" w:cs="宋体"/>
          <w:sz w:val="24"/>
        </w:rPr>
        <w:t>8.2.1.1应建立并有效运行基于危害分析和关键控制点（HACCP）原理的食品安全管理体系。</w:t>
      </w:r>
    </w:p>
    <w:p>
      <w:pPr>
        <w:spacing w:line="360" w:lineRule="auto"/>
        <w:rPr>
          <w:rFonts w:hint="eastAsia" w:ascii="仿宋_GB2312" w:hAnsi="宋体" w:eastAsia="仿宋_GB2312" w:cs="宋体"/>
          <w:sz w:val="24"/>
        </w:rPr>
      </w:pPr>
      <w:r>
        <w:rPr>
          <w:rFonts w:hint="eastAsia" w:ascii="仿宋_GB2312" w:hAnsi="宋体" w:eastAsia="仿宋_GB2312" w:cs="宋体"/>
          <w:sz w:val="24"/>
        </w:rPr>
        <w:t>8.2.1.2应建立文件管理与控制管理制度，对本单位及外来文件（如法律法规、标准等）进行有效管理，确保所使用的文件的充分性、适宜性及使用文件的有效版本。</w:t>
      </w:r>
    </w:p>
    <w:p>
      <w:pPr>
        <w:spacing w:line="360" w:lineRule="auto"/>
        <w:rPr>
          <w:rFonts w:hint="eastAsia" w:ascii="仿宋_GB2312" w:hAnsi="宋体" w:eastAsia="仿宋_GB2312" w:cs="宋体"/>
          <w:sz w:val="24"/>
        </w:rPr>
      </w:pPr>
      <w:r>
        <w:rPr>
          <w:rFonts w:hint="eastAsia" w:ascii="仿宋_GB2312" w:hAnsi="宋体" w:eastAsia="仿宋_GB2312" w:cs="宋体"/>
          <w:sz w:val="24"/>
        </w:rPr>
        <w:t>8.2.1.3应建立记录控制程序，明确记录的标识、贮存、保护、检索、保存期限和处置所需的控制，并确保记录的清晰、完整、可追溯，以作为符合规定要求的证据。</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进货查验记录和相关凭证的保存期限不得少于产品保质期满后6个月。没有明确保质期的，保存期限不得少于2年。其他各项记录保存期限宜为2年。</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8.2.2 食品安全方针和目标</w:t>
      </w:r>
    </w:p>
    <w:p>
      <w:pPr>
        <w:spacing w:line="360" w:lineRule="auto"/>
        <w:rPr>
          <w:rFonts w:hint="eastAsia" w:ascii="仿宋_GB2312" w:hAnsi="宋体" w:eastAsia="仿宋_GB2312" w:cs="宋体"/>
          <w:sz w:val="24"/>
        </w:rPr>
      </w:pPr>
      <w:r>
        <w:rPr>
          <w:rFonts w:hint="eastAsia" w:ascii="仿宋_GB2312" w:hAnsi="宋体" w:eastAsia="仿宋_GB2312" w:cs="宋体"/>
          <w:sz w:val="24"/>
        </w:rPr>
        <w:t>8.2.2.1最高管理者应制定并颁发食品安全方针和目标。</w:t>
      </w:r>
    </w:p>
    <w:p>
      <w:pPr>
        <w:spacing w:line="360" w:lineRule="auto"/>
        <w:rPr>
          <w:rFonts w:hint="eastAsia" w:ascii="仿宋_GB2312" w:hAnsi="宋体" w:eastAsia="仿宋_GB2312" w:cs="宋体"/>
          <w:sz w:val="24"/>
        </w:rPr>
      </w:pPr>
      <w:r>
        <w:rPr>
          <w:rFonts w:hint="eastAsia" w:ascii="仿宋_GB2312" w:hAnsi="宋体" w:eastAsia="仿宋_GB2312" w:cs="宋体"/>
          <w:sz w:val="24"/>
        </w:rPr>
        <w:t>8.2.2.2方针和目标内容应与食品安全要求相符，应定期监视和测量目标的达成情况。</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8.2.3 主体责任</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应积极落实食品安全主体责任制度，主动承担食品安全主体责任，提供安全卫生的餐饮服务，包括但不限于</w:t>
      </w:r>
    </w:p>
    <w:p>
      <w:pPr>
        <w:spacing w:line="360" w:lineRule="auto"/>
        <w:rPr>
          <w:rFonts w:hint="eastAsia" w:ascii="仿宋_GB2312" w:hAnsi="宋体" w:eastAsia="仿宋_GB2312" w:cs="宋体"/>
          <w:sz w:val="24"/>
        </w:rPr>
      </w:pPr>
      <w:r>
        <w:rPr>
          <w:rFonts w:hint="eastAsia" w:ascii="仿宋_GB2312" w:hAnsi="宋体" w:eastAsia="仿宋_GB2312" w:cs="宋体"/>
          <w:sz w:val="24"/>
        </w:rPr>
        <w:t>—在经营现场醒目位置悬挂食品安全总监、食品安全员证照或复印件；</w:t>
      </w:r>
    </w:p>
    <w:p>
      <w:pPr>
        <w:spacing w:line="360" w:lineRule="auto"/>
        <w:rPr>
          <w:rFonts w:hint="eastAsia" w:ascii="仿宋_GB2312" w:hAnsi="宋体" w:eastAsia="仿宋_GB2312" w:cs="宋体"/>
          <w:sz w:val="24"/>
        </w:rPr>
      </w:pPr>
      <w:r>
        <w:rPr>
          <w:rFonts w:hint="eastAsia" w:ascii="仿宋_GB2312" w:hAnsi="宋体" w:eastAsia="仿宋_GB2312" w:cs="宋体"/>
          <w:sz w:val="24"/>
        </w:rPr>
        <w:t>—加贴食品安全承诺标语或签署诚信经营承诺书；</w:t>
      </w:r>
    </w:p>
    <w:p>
      <w:pPr>
        <w:spacing w:line="360" w:lineRule="auto"/>
        <w:rPr>
          <w:rFonts w:hint="eastAsia" w:ascii="仿宋_GB2312" w:hAnsi="宋体" w:eastAsia="仿宋_GB2312" w:cs="宋体"/>
          <w:sz w:val="24"/>
        </w:rPr>
      </w:pPr>
      <w:r>
        <w:rPr>
          <w:rFonts w:hint="eastAsia" w:ascii="仿宋_GB2312" w:hAnsi="宋体" w:eastAsia="仿宋_GB2312" w:cs="宋体"/>
          <w:sz w:val="24"/>
        </w:rPr>
        <w:t>—在经营场所醒目位置公示营业执照、食品经营许可证、日常监督检查结果记录表、公示从事接触直接入口食品工作从业人员的健康证明等需公示的证件/资料等。</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8.2.4人力资源</w:t>
      </w:r>
    </w:p>
    <w:p>
      <w:pPr>
        <w:spacing w:line="360" w:lineRule="auto"/>
        <w:rPr>
          <w:rFonts w:hint="eastAsia" w:ascii="仿宋_GB2312" w:hAnsi="宋体" w:eastAsia="仿宋_GB2312" w:cs="宋体"/>
          <w:sz w:val="24"/>
        </w:rPr>
      </w:pPr>
      <w:r>
        <w:rPr>
          <w:rFonts w:hint="eastAsia" w:ascii="仿宋_GB2312" w:hAnsi="宋体" w:eastAsia="仿宋_GB2312" w:cs="宋体"/>
          <w:sz w:val="24"/>
        </w:rPr>
        <w:t>8.2.4.1 应建立人力资源管理制度，明确各岗位员工能力及工作职责，确保从业人员熟知其在食品安全管理方面的权利与义务。</w:t>
      </w:r>
    </w:p>
    <w:p>
      <w:pPr>
        <w:spacing w:line="360" w:lineRule="auto"/>
        <w:rPr>
          <w:rFonts w:hint="eastAsia" w:ascii="仿宋_GB2312" w:hAnsi="宋体" w:eastAsia="仿宋_GB2312" w:cs="宋体"/>
          <w:sz w:val="24"/>
        </w:rPr>
      </w:pPr>
      <w:r>
        <w:rPr>
          <w:rFonts w:hint="eastAsia" w:ascii="仿宋_GB2312" w:hAnsi="宋体" w:eastAsia="仿宋_GB2312" w:cs="宋体"/>
          <w:sz w:val="24"/>
        </w:rPr>
        <w:t>8.2.4.2 应建立从业人员培训制度，制定培训计划，为从业人员提供持续的培训，培训内容包括但不限于专业技术知识及操作技能、食品安全有关法律法规、卫生知识、消防安全、劳动安全、食品安全等知识。</w:t>
      </w:r>
    </w:p>
    <w:p>
      <w:pPr>
        <w:spacing w:line="360" w:lineRule="auto"/>
        <w:rPr>
          <w:rFonts w:hint="eastAsia" w:ascii="仿宋_GB2312" w:hAnsi="宋体" w:eastAsia="仿宋_GB2312" w:cs="宋体"/>
          <w:sz w:val="24"/>
        </w:rPr>
      </w:pPr>
      <w:r>
        <w:rPr>
          <w:rFonts w:hint="eastAsia" w:ascii="仿宋_GB2312" w:hAnsi="宋体" w:eastAsia="仿宋_GB2312" w:cs="宋体"/>
          <w:sz w:val="24"/>
        </w:rPr>
        <w:t>8.2.4.3应确保所有员工经考核合格后方可上岗，并定期对所有员工进行食品安全培训及考核。8.2.4.4当食品安全相关法律法规标准更新时，应及时开展培训。</w:t>
      </w:r>
    </w:p>
    <w:p>
      <w:pPr>
        <w:spacing w:line="360" w:lineRule="auto"/>
        <w:rPr>
          <w:rFonts w:hint="eastAsia" w:ascii="仿宋_GB2312" w:hAnsi="宋体" w:eastAsia="仿宋_GB2312" w:cs="宋体"/>
          <w:sz w:val="24"/>
        </w:rPr>
      </w:pPr>
      <w:r>
        <w:rPr>
          <w:rFonts w:hint="eastAsia" w:ascii="仿宋_GB2312" w:hAnsi="宋体" w:eastAsia="仿宋_GB2312" w:cs="宋体"/>
          <w:sz w:val="24"/>
        </w:rPr>
        <w:t>8.2.4.5应设置从事食品安全管理的专门机构，并配备足够数量的专（兼）职食品安全管理人员，食品安全管理人员应按规定参加食品安全培训。</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8.2.5危害分析及控制</w:t>
      </w:r>
    </w:p>
    <w:p>
      <w:pPr>
        <w:spacing w:line="360" w:lineRule="auto"/>
        <w:rPr>
          <w:rFonts w:hint="eastAsia" w:ascii="仿宋_GB2312" w:hAnsi="宋体" w:eastAsia="仿宋_GB2312" w:cs="宋体"/>
          <w:sz w:val="24"/>
        </w:rPr>
      </w:pPr>
      <w:r>
        <w:rPr>
          <w:rFonts w:hint="eastAsia" w:ascii="仿宋_GB2312" w:hAnsi="宋体" w:eastAsia="仿宋_GB2312" w:cs="宋体"/>
          <w:sz w:val="24"/>
        </w:rPr>
        <w:t>8.2.5.1食品安全小组应对本单位食品安全管理体系范围内可能出现的潜在危害进行识别与评估，确定关键控制点（CCP），并保留识别与评估过程证据。</w:t>
      </w:r>
    </w:p>
    <w:p>
      <w:pPr>
        <w:spacing w:line="360" w:lineRule="auto"/>
        <w:rPr>
          <w:rFonts w:hint="eastAsia" w:ascii="仿宋_GB2312" w:hAnsi="宋体" w:eastAsia="仿宋_GB2312" w:cs="宋体"/>
          <w:sz w:val="24"/>
        </w:rPr>
      </w:pPr>
      <w:r>
        <w:rPr>
          <w:rFonts w:hint="eastAsia" w:ascii="仿宋_GB2312" w:hAnsi="宋体" w:eastAsia="仿宋_GB2312" w:cs="宋体"/>
          <w:sz w:val="24"/>
        </w:rPr>
        <w:t>8.2.5.2应为所确定的CCP制定适宜充分的控制措施，将相应的危害控制在可接受水平。</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8.2.6前提方案</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8.2.6.1设计与布局</w:t>
      </w:r>
    </w:p>
    <w:p>
      <w:pPr>
        <w:spacing w:line="360" w:lineRule="auto"/>
        <w:rPr>
          <w:rFonts w:hint="eastAsia" w:ascii="仿宋_GB2312" w:hAnsi="宋体" w:eastAsia="仿宋_GB2312" w:cs="宋体"/>
          <w:sz w:val="24"/>
        </w:rPr>
      </w:pPr>
      <w:r>
        <w:rPr>
          <w:rFonts w:hint="eastAsia" w:ascii="仿宋_GB2312" w:hAnsi="宋体" w:eastAsia="仿宋_GB2312" w:cs="宋体"/>
          <w:sz w:val="24"/>
        </w:rPr>
        <w:t>1）餐饮单位获取食品经营许可证后，应严格按照规定的条件和要求从事餐饮服务活动，未经许可不得擅自改变经营布局。</w:t>
      </w:r>
    </w:p>
    <w:p>
      <w:pPr>
        <w:spacing w:line="360" w:lineRule="auto"/>
        <w:rPr>
          <w:rFonts w:hint="eastAsia" w:ascii="仿宋_GB2312" w:hAnsi="宋体" w:eastAsia="仿宋_GB2312" w:cs="宋体"/>
          <w:sz w:val="24"/>
        </w:rPr>
      </w:pPr>
      <w:r>
        <w:rPr>
          <w:rFonts w:hint="eastAsia" w:ascii="仿宋_GB2312" w:hAnsi="宋体" w:eastAsia="仿宋_GB2312" w:cs="宋体"/>
          <w:sz w:val="24"/>
        </w:rPr>
        <w:t>2）应对经营场所的环境设施设备定期进行维护和保养，包括但不限于：门、窗、天花板、隔离网、管道等，确保能避免有害生物的侵入。</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8.2.6.2设备设施</w:t>
      </w:r>
    </w:p>
    <w:p>
      <w:pPr>
        <w:spacing w:line="360" w:lineRule="auto"/>
        <w:rPr>
          <w:rFonts w:hint="eastAsia" w:ascii="仿宋_GB2312" w:hAnsi="宋体" w:eastAsia="仿宋_GB2312" w:cs="宋体"/>
          <w:sz w:val="24"/>
        </w:rPr>
      </w:pPr>
      <w:r>
        <w:rPr>
          <w:rFonts w:hint="eastAsia" w:ascii="仿宋_GB2312" w:hAnsi="宋体" w:eastAsia="仿宋_GB2312" w:cs="宋体"/>
          <w:sz w:val="24"/>
        </w:rPr>
        <w:t>1） 供水设施和排水设施</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食品加工用水水质应符合GB 5749的要求。对加工用水水质有特殊要求的食品（如现榨果汁、食用冰），应经过净水设施处理，符合CJ94的要求。使用预包装饮用水，应符合其执行标准要求。</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食品加工用水与其他不与食品接触的用水（如间接冷凝水、污水、废水等）应以完全分离的管道输送，确保无逆流或相互交接。</w:t>
      </w:r>
    </w:p>
    <w:p>
      <w:pPr>
        <w:spacing w:line="360" w:lineRule="auto"/>
        <w:rPr>
          <w:rFonts w:hint="eastAsia" w:ascii="仿宋_GB2312" w:hAnsi="宋体" w:eastAsia="仿宋_GB2312" w:cs="宋体"/>
          <w:sz w:val="24"/>
        </w:rPr>
      </w:pPr>
      <w:r>
        <w:rPr>
          <w:rFonts w:hint="eastAsia" w:ascii="仿宋_GB2312" w:hAnsi="宋体" w:eastAsia="仿宋_GB2312" w:cs="宋体"/>
          <w:sz w:val="24"/>
        </w:rPr>
        <w:t>2） 清洗消毒保洁设施</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应确保清洗、消毒、保洁设施设备应放置在专用区域。</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食品工用具的清洗设备应与食品原料、清洁用具的清洗设备明显区分，使用化学消毒方法的，应设置接触直接入口食品的工用具的专用消毒水池。</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粗加工场所应设置动物食品、植物食品、水产品清洗水池，各类水池应加施明显标识标明用途。</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食品处理区内应设置清洁工具的清洗水池，其位置不应污染食品及其加工过程。</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食品处理区内应设置足够数目的洗手设施，洗手消毒的水龙头应采用非手动式，应有清洗、消毒、干手设施及洗手方法标识。</w:t>
      </w:r>
    </w:p>
    <w:p>
      <w:pPr>
        <w:spacing w:line="360" w:lineRule="auto"/>
        <w:rPr>
          <w:rFonts w:hint="eastAsia" w:ascii="仿宋_GB2312" w:hAnsi="宋体" w:eastAsia="仿宋_GB2312" w:cs="宋体"/>
          <w:sz w:val="24"/>
        </w:rPr>
      </w:pPr>
      <w:r>
        <w:rPr>
          <w:rFonts w:hint="eastAsia" w:ascii="仿宋_GB2312" w:hAnsi="宋体" w:eastAsia="仿宋_GB2312" w:cs="宋体"/>
          <w:sz w:val="24"/>
        </w:rPr>
        <w:t>3） 加工制作设备设施</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应根据加工制作食品的需要，配备相应的设施、设备、容器、工具等，加工制作食品的设施、设备、容器、工具不得用于与加工制作食品无关的用途。</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设备的摆放、安装应便于清洁和操作，减少交叉污染。</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食品设备、容器和工具与食品的接触面应平滑、无凹陷或裂缝，内部角落部位避免有尖角，防止聚积食品碎屑、污垢等。</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用于盛放和加工原料、半成品、成品的容器、工具和设备应能明显区分，分开放置和使用。</w:t>
      </w:r>
    </w:p>
    <w:p>
      <w:pPr>
        <w:spacing w:line="360" w:lineRule="auto"/>
        <w:rPr>
          <w:rFonts w:hint="eastAsia" w:ascii="仿宋_GB2312" w:hAnsi="宋体" w:eastAsia="仿宋_GB2312" w:cs="宋体"/>
          <w:sz w:val="24"/>
        </w:rPr>
      </w:pPr>
      <w:r>
        <w:rPr>
          <w:rFonts w:hint="eastAsia" w:ascii="仿宋_GB2312" w:hAnsi="宋体" w:eastAsia="仿宋_GB2312" w:cs="宋体"/>
          <w:sz w:val="24"/>
        </w:rPr>
        <w:t>4） 照明设施</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食品处理区应有充足的自然采光或人工照明设施，光源不得改变食品的感官颜色。安装在暴露食品正上方的照明灯应有防护装置，避免照明灯爆裂后污染食品。</w:t>
      </w:r>
    </w:p>
    <w:p>
      <w:pPr>
        <w:spacing w:line="360" w:lineRule="auto"/>
        <w:rPr>
          <w:rFonts w:hint="eastAsia" w:ascii="仿宋_GB2312" w:hAnsi="宋体" w:eastAsia="仿宋_GB2312" w:cs="宋体"/>
          <w:sz w:val="24"/>
        </w:rPr>
      </w:pPr>
      <w:r>
        <w:rPr>
          <w:rFonts w:hint="eastAsia" w:ascii="仿宋_GB2312" w:hAnsi="宋体" w:eastAsia="仿宋_GB2312" w:cs="宋体"/>
          <w:sz w:val="24"/>
        </w:rPr>
        <w:t>5） 通风排烟设施</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应确保产生油烟的设备上方，设置机械排风及油烟过滤装置，过滤器便于清洁、更换。产生大量蒸汽的设备上方，设置机械排风排汽装置，并做好凝结水的引泄。</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8.2.6.3 废弃物处理</w:t>
      </w:r>
    </w:p>
    <w:p>
      <w:pPr>
        <w:spacing w:line="360" w:lineRule="auto"/>
        <w:rPr>
          <w:rFonts w:hint="eastAsia" w:ascii="仿宋_GB2312" w:hAnsi="宋体" w:eastAsia="仿宋_GB2312" w:cs="宋体"/>
          <w:sz w:val="24"/>
        </w:rPr>
      </w:pPr>
      <w:r>
        <w:rPr>
          <w:rFonts w:hint="eastAsia" w:ascii="仿宋_GB2312" w:hAnsi="宋体" w:eastAsia="仿宋_GB2312" w:cs="宋体"/>
          <w:sz w:val="24"/>
        </w:rPr>
        <w:t>1）食品处理区内可能产生废弃物或垃圾的场所应设有密闭的废弃物容器，应与食品加工容器有明显区分标识。经营场所外设置的废弃物临时集中存放设施，结构应紧密，不污染环境，防止虫害孳生。</w:t>
      </w:r>
    </w:p>
    <w:p>
      <w:pPr>
        <w:spacing w:line="360" w:lineRule="auto"/>
        <w:rPr>
          <w:rFonts w:hint="eastAsia" w:ascii="仿宋_GB2312" w:hAnsi="宋体" w:eastAsia="仿宋_GB2312" w:cs="宋体"/>
          <w:sz w:val="24"/>
        </w:rPr>
      </w:pPr>
      <w:r>
        <w:rPr>
          <w:rFonts w:hint="eastAsia" w:ascii="仿宋_GB2312" w:hAnsi="宋体" w:eastAsia="仿宋_GB2312" w:cs="宋体"/>
          <w:sz w:val="24"/>
        </w:rPr>
        <w:t>2）餐厨废弃物应分类放置、及时清理，不得溢出存放容器。餐厨废弃物的存放容器应及时清洁，必要时应进行消毒。</w:t>
      </w:r>
    </w:p>
    <w:p>
      <w:pPr>
        <w:spacing w:line="360" w:lineRule="auto"/>
        <w:rPr>
          <w:rFonts w:hint="eastAsia" w:ascii="仿宋_GB2312" w:hAnsi="宋体" w:eastAsia="仿宋_GB2312" w:cs="宋体"/>
          <w:sz w:val="24"/>
        </w:rPr>
      </w:pPr>
      <w:r>
        <w:rPr>
          <w:rFonts w:hint="eastAsia" w:ascii="仿宋_GB2312" w:hAnsi="宋体" w:eastAsia="仿宋_GB2312" w:cs="宋体"/>
          <w:sz w:val="24"/>
        </w:rPr>
        <w:t>3）应建立、实施和保持废弃物收集、存放和处置规程，确保废弃物处置方式符合有关规定。委托废弃物收运者处理的，应索取并留存餐厨废弃物收运者的资质证明复印件，并与其签订收运合同，明确各自的食品安全责任和义务。</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8.2.6.4 设备、用具清洁、保养</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应对食品加工、储存、消毒、保洁等设备和用具的清洁、保养、维护建立操作规程。并定期对食品加工、储存、消毒、保洁等设备实施清洁保养。</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8.2.6.5 清洗和消毒</w:t>
      </w:r>
    </w:p>
    <w:p>
      <w:pPr>
        <w:spacing w:line="360" w:lineRule="auto"/>
        <w:rPr>
          <w:rFonts w:hint="eastAsia" w:ascii="仿宋_GB2312" w:hAnsi="宋体" w:eastAsia="仿宋_GB2312" w:cs="宋体"/>
          <w:sz w:val="24"/>
        </w:rPr>
      </w:pPr>
      <w:r>
        <w:rPr>
          <w:rFonts w:hint="eastAsia" w:ascii="仿宋_GB2312" w:hAnsi="宋体" w:eastAsia="仿宋_GB2312" w:cs="宋体"/>
          <w:sz w:val="24"/>
        </w:rPr>
        <w:t>1） 应制定清洗和消毒规程，包括洁消毒的区域，设备或器具名称，洗涤剂/消毒剂的名称、浓度和时间，清洁消毒的方法和频率，清洁消毒效果的验证等内容，确保食品加工场所清洁卫生，防止食品污染。</w:t>
      </w:r>
    </w:p>
    <w:p>
      <w:pPr>
        <w:spacing w:line="360" w:lineRule="auto"/>
        <w:rPr>
          <w:rFonts w:hint="eastAsia" w:ascii="仿宋_GB2312" w:hAnsi="宋体" w:eastAsia="仿宋_GB2312" w:cs="宋体"/>
          <w:sz w:val="24"/>
        </w:rPr>
      </w:pPr>
      <w:r>
        <w:rPr>
          <w:rFonts w:hint="eastAsia" w:ascii="仿宋_GB2312" w:hAnsi="宋体" w:eastAsia="仿宋_GB2312" w:cs="宋体"/>
          <w:sz w:val="24"/>
        </w:rPr>
        <w:t>2） 餐饮具、食品容器、工具和设备等食品接触面应采取必要的清洁和消毒措施，达到GB 14934《食品安全国家标准 消毒餐（饮）具》的要求。</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餐用具使用后应及时洗净，餐饮具、盛放或接触直接入口食品的容器和工具使用前应消毒。</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采用物理消毒，应检查餐用具消毒设备或设施的运行状况，采用化学消毒的，应现用现配，并定期测量消毒液的消毒浓度。</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从业人员佩戴手套清洗消毒餐用具的，接触消毒后的餐用具前应更换手套，手套应予以区分。</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消毒后的餐饮具、盛放或接触直接入口食品的容器和工具，应符合GB 14934《食品安全国家标准 消毒餐（饮）具》的规定，不得重复使用一次性餐饮具。</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委托餐饮具集中服务单位提供清洗服务的，应当查验、留存餐饮具集中消毒单位的营业执照复印件和消毒合格证明，保存期限应不少于消毒餐饮具使用期限到期后6个月；</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消毒后的餐饮具、盛放或接触直接入口食品的容器和工具，应定位存放在专用的密闭保洁设施内，保持清洁；</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使用抹布擦干的，抹布应专用，并经清洗消毒方可使用。</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使用的洗涤剂、消毒剂应分别符合GB 14930.1和GB 14930.2等国家标准和有关规定，应严格按照洗涤剂、消毒剂的使用说明进行操作，并保留消毒剂配置记录。</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8.2.6.6 虫害防治</w:t>
      </w:r>
    </w:p>
    <w:p>
      <w:pPr>
        <w:spacing w:line="360" w:lineRule="auto"/>
        <w:rPr>
          <w:rFonts w:hint="eastAsia" w:ascii="仿宋_GB2312" w:hAnsi="宋体" w:eastAsia="仿宋_GB2312" w:cs="宋体"/>
          <w:sz w:val="24"/>
        </w:rPr>
      </w:pPr>
      <w:r>
        <w:rPr>
          <w:rFonts w:hint="eastAsia" w:ascii="仿宋_GB2312" w:hAnsi="宋体" w:eastAsia="仿宋_GB2312" w:cs="宋体"/>
          <w:sz w:val="24"/>
        </w:rPr>
        <w:t>1） 应根据所处环境制定虫害控制计划或制度，定期检查，防止有害生物藏匿、孳生或侵入。</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采用外包方式控制虫害的，应对外包方进行管理和监视，留存虫害防治人员操作记录。</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使用化学生物制剂进行处理时，应确保不会影响食品安全，污染食品接触表面、设备、工器具及包装材料。</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收取货物时，应检查运输工具和货物包装是否有有害生物活动迹象，防止有害生物入侵。</w:t>
      </w:r>
    </w:p>
    <w:p>
      <w:pPr>
        <w:spacing w:line="360" w:lineRule="auto"/>
        <w:rPr>
          <w:rFonts w:hint="eastAsia" w:ascii="仿宋_GB2312" w:hAnsi="宋体" w:eastAsia="仿宋_GB2312" w:cs="宋体"/>
          <w:sz w:val="24"/>
        </w:rPr>
      </w:pPr>
      <w:r>
        <w:rPr>
          <w:rFonts w:hint="eastAsia" w:ascii="仿宋_GB2312" w:hAnsi="宋体" w:eastAsia="仿宋_GB2312" w:cs="宋体"/>
          <w:sz w:val="24"/>
        </w:rPr>
        <w:t>2） 应按规定使用杀虫剂和杀鼠剂，使用的卫生杀虫剂和杀鼠剂标签信息应齐全（农药登记证、农药生产许可证、农药标准）并在有效期内。</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应严格根据卫生杀虫剂和杀鼠剂的技术要求确定使用剂量和位置，设置警示标识。</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应设置单独、固定的卫生杀虫剂和杀鼠剂产品存放场所，不得在食品处理区和就餐场所存放卫生杀虫剂和杀鼠剂产品，并由专人负责。</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8.2.6.7人员健康和卫生</w:t>
      </w:r>
    </w:p>
    <w:p>
      <w:pPr>
        <w:spacing w:line="360" w:lineRule="auto"/>
        <w:rPr>
          <w:rFonts w:hint="eastAsia" w:ascii="仿宋_GB2312" w:hAnsi="宋体" w:eastAsia="仿宋_GB2312" w:cs="宋体"/>
          <w:sz w:val="24"/>
        </w:rPr>
      </w:pPr>
      <w:r>
        <w:rPr>
          <w:rFonts w:hint="eastAsia" w:ascii="仿宋_GB2312" w:hAnsi="宋体" w:eastAsia="仿宋_GB2312" w:cs="宋体"/>
          <w:sz w:val="24"/>
        </w:rPr>
        <w:t>1） 健康管理</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应建立从业人员健康管理制度，明确健康标准，降低食品安全风险。</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应建立从业人员健康档案，统一管理员工健康证明并保持有效，确保从业人员（含新参加或临时参加工作人员）上岗前获得健康证明。</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每年应至少进行一次健康检查，必要时接受临时检查。</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应建立每日晨检制度，每天对从业人员上岗前的健康状况进行检查，确保发现有碍食品安全病症及手部有伤口的从业人员，立即暂停从事接触直接入口食品的工作，并保留相关记录。</w:t>
      </w:r>
    </w:p>
    <w:p>
      <w:pPr>
        <w:spacing w:line="360" w:lineRule="auto"/>
        <w:rPr>
          <w:rFonts w:hint="eastAsia" w:ascii="仿宋_GB2312" w:hAnsi="宋体" w:eastAsia="仿宋_GB2312" w:cs="宋体"/>
          <w:sz w:val="24"/>
        </w:rPr>
      </w:pPr>
      <w:r>
        <w:rPr>
          <w:rFonts w:hint="eastAsia" w:ascii="仿宋_GB2312" w:hAnsi="宋体" w:eastAsia="仿宋_GB2312" w:cs="宋体"/>
          <w:sz w:val="24"/>
        </w:rPr>
        <w:t>2） 人员卫生</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从业人员不得留长指甲、涂指甲油。工作时，应穿清洁的工作服，不得披散头发，佩戴的手表、手镯、手链、手串、戒指、耳环等饰物不得外露。</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食品处理区内的从业人员不宜化妆，应戴清洁的工作帽，工作帽应能将头发全部遮盖住。</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专间和专用操作区从业人员应佩戴清洁口罩，专间从业人员进入专间前应更换专用工作服，离开专间时，应脱去专用工作服。</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从业人员在加工制作食品前应按要求洗净手部，从事接触直接入口食品工作的从业人员，加工制作食品前应清洗手部并消毒，发生可能污染手部的活动后，应重新洗净手部及消毒。</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工作服应定点存放，从事接触直接入口食品工作的从业人员，其工作服应每天清洗更换，待清洗的工作服不得存放在食品处理区。</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8.2.6.8 采购材料的管理</w:t>
      </w:r>
    </w:p>
    <w:p>
      <w:pPr>
        <w:spacing w:line="360" w:lineRule="auto"/>
        <w:rPr>
          <w:rFonts w:hint="eastAsia" w:ascii="仿宋_GB2312" w:hAnsi="宋体" w:eastAsia="仿宋_GB2312" w:cs="宋体"/>
          <w:sz w:val="24"/>
        </w:rPr>
      </w:pPr>
      <w:r>
        <w:rPr>
          <w:rFonts w:hint="eastAsia" w:ascii="仿宋_GB2312" w:hAnsi="宋体" w:eastAsia="仿宋_GB2312" w:cs="宋体"/>
          <w:sz w:val="24"/>
        </w:rPr>
        <w:t>1） 进货查验</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应建立并执行进货查验和记录制度，按规定进行查验，确保采购的产品符合要求和国家有关的食品卫生标准。</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应查验随货证明文件（许可资质证明、产品合格证明、检疫合格证明、肉品品质检验合格证明）和采购或送货凭证：</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—从食品生产者采购食品的，应查验其食品生产许可证和产品合格证明文件，采购食品添加剂、食品相关 产品的，应查验其营业执照和产品合格证明文件；</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—从食品销售者（商场、超市、便利店等）采购食品的，查验其食品经营许可证等，采购食品添加剂、食品相关产品的，查验其营业执照；</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—从食用农产品个体生产者直接采购食用农产品的，查验其有效身份证明；</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—从食用农产品生产企业和农民专业合作经济组织采购食用农产品的，查验其社会信用代码和产品合格证明文件；</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—从集中交易市场采购食用农产品的，索取并留存市场管理部门或经营者加盖公章（或负责人签字）的购货凭证；</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—采购畜禽肉类的，还应查验动物产品检疫合格证明；采购猪肉的，还应查验肉品品质检验合格证明。</w:t>
      </w:r>
    </w:p>
    <w:p>
      <w:pPr>
        <w:spacing w:line="360" w:lineRule="auto"/>
        <w:rPr>
          <w:rFonts w:hint="eastAsia" w:ascii="仿宋_GB2312" w:hAnsi="宋体" w:eastAsia="仿宋_GB2312" w:cs="宋体"/>
          <w:sz w:val="24"/>
        </w:rPr>
      </w:pPr>
      <w:r>
        <w:rPr>
          <w:rFonts w:hint="eastAsia" w:ascii="仿宋_GB2312" w:hAnsi="宋体" w:eastAsia="仿宋_GB2312" w:cs="宋体"/>
          <w:sz w:val="24"/>
        </w:rPr>
        <w:t>2） 入库查验和记录</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入库前应对原料、食品添加剂、食品相关产品的外观、温度进行查验，查验的内容应至少包括以下：</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—食品原料感形状正常，无腐败、变质、污染等现象；</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—预包装食品包装完整、清洁、无破损，内容物与产品标识一致；</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—标签标识完整、清晰、载明的事项符合食品安全标准和要求；</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—食品在保质期内；</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—食品温度符合食品安全要求。</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 xml:space="preserve">   应保留入库查验记录台账及领料出库台账，便于追溯。</w:t>
      </w:r>
    </w:p>
    <w:p>
      <w:pPr>
        <w:spacing w:line="360" w:lineRule="auto"/>
        <w:rPr>
          <w:rFonts w:hint="eastAsia" w:ascii="仿宋_GB2312" w:hAnsi="宋体" w:eastAsia="仿宋_GB2312" w:cs="宋体"/>
          <w:b/>
          <w:bCs/>
          <w:sz w:val="24"/>
        </w:rPr>
      </w:pPr>
      <w:r>
        <w:rPr>
          <w:rFonts w:hint="eastAsia" w:ascii="仿宋_GB2312" w:hAnsi="宋体" w:eastAsia="仿宋_GB2312" w:cs="宋体"/>
          <w:b/>
          <w:bCs/>
          <w:sz w:val="24"/>
        </w:rPr>
        <w:t>8.2.6.9 产品贮存管理</w:t>
      </w:r>
    </w:p>
    <w:p>
      <w:pPr>
        <w:spacing w:line="360" w:lineRule="auto"/>
        <w:rPr>
          <w:rFonts w:hint="eastAsia" w:ascii="仿宋_GB2312" w:hAnsi="宋体" w:eastAsia="仿宋_GB2312" w:cs="宋体"/>
          <w:sz w:val="24"/>
        </w:rPr>
      </w:pPr>
      <w:r>
        <w:rPr>
          <w:rFonts w:hint="eastAsia" w:ascii="仿宋_GB2312" w:hAnsi="宋体" w:eastAsia="仿宋_GB2312" w:cs="宋体"/>
          <w:sz w:val="24"/>
        </w:rPr>
        <w:t>1） 库房及冷冻（藏）设施</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应根据食品贮存条件设置相应的食品库房或存放场所，必要时设置冷冻库、冷藏库。冷冻柜、冷藏柜应有明显的区分标识，冷冻、冷藏柜（库）应设可正确显示内部温度的温度计，宜设置外显式温度计。</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清洗消毒工具和洗涤剂、消毒剂等物品应设独立隔间或区域存放，并设醒目标识。</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同一库房内贮存不同类别食品和非食品（如食品包装材料等），应分设存放区域，不同区域。</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应设专柜（位）贮存食品添加剂，标注“食品添加剂”字样，并与食品、食品相关产品分开存放。</w:t>
      </w:r>
    </w:p>
    <w:p>
      <w:pPr>
        <w:spacing w:line="360" w:lineRule="auto"/>
        <w:rPr>
          <w:rFonts w:hint="eastAsia" w:ascii="仿宋_GB2312" w:hAnsi="宋体" w:eastAsia="仿宋_GB2312" w:cs="宋体"/>
          <w:sz w:val="24"/>
        </w:rPr>
      </w:pPr>
      <w:r>
        <w:rPr>
          <w:rFonts w:hint="eastAsia" w:ascii="仿宋_GB2312" w:hAnsi="宋体" w:eastAsia="仿宋_GB2312" w:cs="宋体"/>
          <w:sz w:val="24"/>
        </w:rPr>
        <w:t>2） 贮存管理</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应建立、实施和保持仓库管理规程，确保按照“先进先出”和“有效期优先”的原则控制物料出库顺序。</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按照食品安全要求贮存原料，有明确的保存条件和保质期的，应按照保存条件和保质期贮存。保存条件、保质期不明确的及开封后的、自制半成品应根据食品品种、加工制作方式、包装形式等针对性的确定适宜的保存条件和保存期限。</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应明确规定冷藏或冷冻的温度，冷冻或冷藏品应持续处于稳定的冷冻或冷藏状态。</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储存的原料、食品添加剂、食品相关产品应标明采购日期、开封日期、加工制作日期及保质期。</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应对原料、食品添加剂、食品相关产品的存放仓库进行管理，定期检查库存产品质量和卫生情况，及时清理变质或超过保质期的库存。</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库房应通风、防潮及防止有害生物侵入的装置。</w:t>
      </w:r>
    </w:p>
    <w:p>
      <w:pPr>
        <w:spacing w:line="360" w:lineRule="auto"/>
        <w:rPr>
          <w:rFonts w:hint="eastAsia" w:ascii="仿宋_GB2312" w:hAnsi="宋体" w:eastAsia="仿宋_GB2312" w:cs="宋体"/>
          <w:b/>
          <w:bCs/>
          <w:sz w:val="24"/>
        </w:rPr>
      </w:pPr>
      <w:r>
        <w:rPr>
          <w:rFonts w:ascii="仿宋_GB2312" w:hAnsi="宋体" w:eastAsia="仿宋_GB2312" w:cs="宋体"/>
          <w:b/>
          <w:bCs/>
          <w:sz w:val="24"/>
        </w:rPr>
        <w:t>8.2.6.10</w:t>
      </w:r>
      <w:r>
        <w:rPr>
          <w:rFonts w:hint="eastAsia" w:ascii="仿宋_GB2312" w:hAnsi="宋体" w:eastAsia="仿宋_GB2312" w:cs="宋体"/>
          <w:b/>
          <w:bCs/>
          <w:sz w:val="24"/>
        </w:rPr>
        <w:t>食品安全自查</w:t>
      </w:r>
    </w:p>
    <w:p>
      <w:pPr>
        <w:spacing w:line="360" w:lineRule="auto"/>
        <w:rPr>
          <w:rFonts w:hint="eastAsia" w:ascii="仿宋_GB2312" w:hAnsi="宋体" w:eastAsia="仿宋_GB2312" w:cs="宋体"/>
          <w:sz w:val="24"/>
        </w:rPr>
      </w:pPr>
      <w:r>
        <w:rPr>
          <w:rFonts w:hint="eastAsia" w:ascii="仿宋_GB2312" w:hAnsi="宋体" w:eastAsia="仿宋_GB2312" w:cs="宋体"/>
          <w:sz w:val="24"/>
        </w:rPr>
        <w:t xml:space="preserve">   </w:t>
      </w:r>
      <w:r>
        <w:rPr>
          <w:rFonts w:ascii="仿宋_GB2312" w:hAnsi="宋体" w:eastAsia="仿宋_GB2312" w:cs="宋体"/>
          <w:sz w:val="24"/>
        </w:rPr>
        <w:t xml:space="preserve"> </w:t>
      </w:r>
      <w:r>
        <w:rPr>
          <w:rFonts w:hint="eastAsia" w:ascii="仿宋_GB2312" w:hAnsi="宋体" w:eastAsia="仿宋_GB2312" w:cs="宋体"/>
          <w:sz w:val="24"/>
        </w:rPr>
        <w:t>应建立食品安全自查清单及计划，定期开展食品安全自查，应至少包括以下：</w:t>
      </w:r>
    </w:p>
    <w:p>
      <w:pPr>
        <w:spacing w:line="360" w:lineRule="auto"/>
        <w:rPr>
          <w:rFonts w:hint="eastAsia" w:ascii="仿宋_GB2312" w:hAnsi="宋体" w:eastAsia="仿宋_GB2312" w:cs="宋体"/>
          <w:sz w:val="24"/>
        </w:rPr>
      </w:pPr>
      <w:r>
        <w:rPr>
          <w:rFonts w:hint="eastAsia" w:ascii="仿宋_GB2312" w:hAnsi="宋体" w:eastAsia="仿宋_GB2312" w:cs="宋体"/>
          <w:sz w:val="24"/>
        </w:rPr>
        <w:t xml:space="preserve">  </w:t>
      </w:r>
      <w:r>
        <w:rPr>
          <w:rFonts w:ascii="仿宋_GB2312" w:hAnsi="宋体" w:eastAsia="仿宋_GB2312" w:cs="宋体"/>
          <w:sz w:val="24"/>
        </w:rPr>
        <w:t xml:space="preserve"> </w:t>
      </w:r>
      <w:r>
        <w:rPr>
          <w:rFonts w:hint="eastAsia" w:ascii="仿宋_GB2312" w:hAnsi="宋体" w:eastAsia="仿宋_GB2312" w:cs="宋体"/>
          <w:sz w:val="24"/>
        </w:rPr>
        <w:t xml:space="preserve"> —制度自查：每年至少开展一次，当国家食品安全国家食品安全法律、法规、规章、规范性文件、发生变化时，及时开展制度自查和修订。</w:t>
      </w:r>
    </w:p>
    <w:p>
      <w:pPr>
        <w:spacing w:line="360" w:lineRule="auto"/>
        <w:rPr>
          <w:rFonts w:hint="eastAsia" w:ascii="仿宋_GB2312" w:hAnsi="宋体" w:eastAsia="仿宋_GB2312" w:cs="宋体"/>
          <w:sz w:val="24"/>
        </w:rPr>
      </w:pPr>
      <w:r>
        <w:rPr>
          <w:rFonts w:hint="eastAsia" w:ascii="仿宋_GB2312" w:hAnsi="宋体" w:eastAsia="仿宋_GB2312" w:cs="宋体"/>
          <w:sz w:val="24"/>
        </w:rPr>
        <w:t xml:space="preserve">   </w:t>
      </w:r>
      <w:r>
        <w:rPr>
          <w:rFonts w:ascii="仿宋_GB2312" w:hAnsi="宋体" w:eastAsia="仿宋_GB2312" w:cs="宋体"/>
          <w:sz w:val="24"/>
        </w:rPr>
        <w:t xml:space="preserve"> </w:t>
      </w:r>
      <w:r>
        <w:rPr>
          <w:rFonts w:hint="eastAsia" w:ascii="仿宋_GB2312" w:hAnsi="宋体" w:eastAsia="仿宋_GB2312" w:cs="宋体"/>
          <w:sz w:val="24"/>
        </w:rPr>
        <w:t>—定期自查：每月至少开展一次自查。</w:t>
      </w:r>
    </w:p>
    <w:p>
      <w:pPr>
        <w:spacing w:line="360" w:lineRule="auto"/>
        <w:rPr>
          <w:rFonts w:hint="eastAsia" w:ascii="仿宋_GB2312" w:hAnsi="宋体" w:eastAsia="仿宋_GB2312" w:cs="宋体"/>
          <w:sz w:val="24"/>
        </w:rPr>
      </w:pPr>
      <w:r>
        <w:rPr>
          <w:rFonts w:hint="eastAsia" w:ascii="仿宋_GB2312" w:hAnsi="宋体" w:eastAsia="仿宋_GB2312" w:cs="宋体"/>
          <w:sz w:val="24"/>
        </w:rPr>
        <w:t xml:space="preserve">  </w:t>
      </w:r>
      <w:r>
        <w:rPr>
          <w:rFonts w:ascii="仿宋_GB2312" w:hAnsi="宋体" w:eastAsia="仿宋_GB2312" w:cs="宋体"/>
          <w:sz w:val="24"/>
        </w:rPr>
        <w:t xml:space="preserve"> </w:t>
      </w:r>
      <w:r>
        <w:rPr>
          <w:rFonts w:hint="eastAsia" w:ascii="仿宋_GB2312" w:hAnsi="宋体" w:eastAsia="仿宋_GB2312" w:cs="宋体"/>
          <w:sz w:val="24"/>
        </w:rPr>
        <w:t xml:space="preserve"> —专项自查：获知食品安全风险信息后，应立即开展专项自查。</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对自查中发现的问题食品，应立即停止使用，存放在加贴醒目、牢固标识的专门区域，避免被误用，并采取退货、销毁等措施进行处理。</w:t>
      </w:r>
    </w:p>
    <w:p>
      <w:pPr>
        <w:spacing w:line="360" w:lineRule="auto"/>
        <w:rPr>
          <w:rFonts w:hint="eastAsia" w:ascii="仿宋_GB2312" w:hAnsi="宋体" w:eastAsia="仿宋_GB2312" w:cs="宋体"/>
          <w:b/>
          <w:bCs/>
          <w:sz w:val="24"/>
        </w:rPr>
      </w:pPr>
      <w:r>
        <w:rPr>
          <w:rFonts w:ascii="仿宋_GB2312" w:hAnsi="宋体" w:eastAsia="仿宋_GB2312" w:cs="宋体"/>
          <w:b/>
          <w:bCs/>
          <w:sz w:val="24"/>
        </w:rPr>
        <w:t xml:space="preserve">8.2.7 </w:t>
      </w:r>
      <w:r>
        <w:rPr>
          <w:rFonts w:hint="eastAsia" w:ascii="仿宋_GB2312" w:hAnsi="宋体" w:eastAsia="仿宋_GB2312" w:cs="宋体"/>
          <w:b/>
          <w:bCs/>
          <w:sz w:val="24"/>
        </w:rPr>
        <w:t>加工过程4D管理</w:t>
      </w:r>
    </w:p>
    <w:p>
      <w:pPr>
        <w:spacing w:line="360" w:lineRule="auto"/>
        <w:rPr>
          <w:rFonts w:hint="eastAsia" w:ascii="仿宋_GB2312" w:hAnsi="宋体" w:eastAsia="仿宋_GB2312" w:cs="宋体"/>
          <w:b/>
          <w:bCs/>
          <w:sz w:val="24"/>
        </w:rPr>
      </w:pPr>
      <w:r>
        <w:rPr>
          <w:rFonts w:ascii="仿宋_GB2312" w:hAnsi="宋体" w:eastAsia="仿宋_GB2312" w:cs="宋体"/>
          <w:b/>
          <w:bCs/>
          <w:sz w:val="24"/>
        </w:rPr>
        <w:t xml:space="preserve">8.2.7.1 </w:t>
      </w:r>
      <w:r>
        <w:rPr>
          <w:rFonts w:hint="eastAsia" w:ascii="仿宋_GB2312" w:hAnsi="宋体" w:eastAsia="仿宋_GB2312" w:cs="宋体"/>
          <w:b/>
          <w:bCs/>
          <w:sz w:val="24"/>
        </w:rPr>
        <w:t xml:space="preserve"> 基本要求</w:t>
      </w:r>
    </w:p>
    <w:p>
      <w:pPr>
        <w:spacing w:line="360" w:lineRule="auto"/>
        <w:ind w:firstLine="480"/>
        <w:rPr>
          <w:rFonts w:hint="eastAsia" w:ascii="仿宋_GB2312" w:hAnsi="宋体" w:eastAsia="仿宋_GB2312" w:cs="宋体"/>
          <w:sz w:val="24"/>
        </w:rPr>
      </w:pPr>
      <w:r>
        <w:rPr>
          <w:rFonts w:hint="eastAsia" w:ascii="仿宋_GB2312" w:hAnsi="宋体" w:eastAsia="仿宋_GB2312" w:cs="宋体"/>
          <w:sz w:val="24"/>
        </w:rPr>
        <w:t>加工制作食品过程中，应采取以下相应措施，避免食物受到交叉污染，包括但不限于以下：</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—用于食品原料、半成品、成品的容器和工具分开放置和使用。</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—不在食品处理区内从事可能污染食品的活动。</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—不在食品处理区外从事食品加工、餐用具清洗消毒活动。</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—接触食品的容器和工具不应直接放置在地面上或接触不洁物。</w:t>
      </w:r>
    </w:p>
    <w:p>
      <w:pPr>
        <w:spacing w:line="360" w:lineRule="auto"/>
        <w:rPr>
          <w:rFonts w:hint="eastAsia" w:ascii="仿宋_GB2312" w:hAnsi="宋体" w:eastAsia="仿宋_GB2312" w:cs="宋体"/>
          <w:b/>
          <w:bCs/>
          <w:sz w:val="24"/>
        </w:rPr>
      </w:pPr>
      <w:r>
        <w:rPr>
          <w:rFonts w:ascii="仿宋_GB2312" w:hAnsi="宋体" w:eastAsia="仿宋_GB2312" w:cs="宋体"/>
          <w:b/>
          <w:bCs/>
          <w:sz w:val="24"/>
        </w:rPr>
        <w:t xml:space="preserve">8.2.7.2 </w:t>
      </w:r>
      <w:r>
        <w:rPr>
          <w:rFonts w:hint="eastAsia" w:ascii="仿宋_GB2312" w:hAnsi="宋体" w:eastAsia="仿宋_GB2312" w:cs="宋体"/>
          <w:b/>
          <w:bCs/>
          <w:sz w:val="24"/>
        </w:rPr>
        <w:t>粗加工</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加工前应认真检查待加工食品，发现有腐败变质、混有异物或其他感官异常等情形的食材，不应加工使用。</w:t>
      </w:r>
    </w:p>
    <w:p>
      <w:pPr>
        <w:spacing w:line="360" w:lineRule="auto"/>
        <w:ind w:firstLine="480" w:firstLineChars="200"/>
        <w:rPr>
          <w:rFonts w:ascii="仿宋_GB2312" w:hAnsi="宋体" w:eastAsia="仿宋_GB2312" w:cs="宋体"/>
          <w:sz w:val="24"/>
        </w:rPr>
      </w:pPr>
      <w:r>
        <w:rPr>
          <w:rFonts w:hint="eastAsia" w:ascii="仿宋_GB2312" w:hAnsi="宋体" w:eastAsia="仿宋_GB2312" w:cs="宋体"/>
          <w:sz w:val="24"/>
        </w:rPr>
        <w:t>食品原料加工前应洗净。未经事先清洁的禽蛋使用前应清洁外壳，必要时消毒。</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经过粗加工的食品应做好防护，防止污染。</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经过粗加工的易腐食品应及时使用或冷藏、冷冻。冷冻（藏）食品出库后，应及时制作，冷冻原料不宜反复解冻、冷冻。</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砧板、刀具、抹布按用途区分使用，并经清洁消毒处理，状态保持良好。</w:t>
      </w:r>
    </w:p>
    <w:p>
      <w:pPr>
        <w:spacing w:line="360" w:lineRule="auto"/>
        <w:rPr>
          <w:rFonts w:hint="eastAsia" w:ascii="仿宋_GB2312" w:hAnsi="宋体" w:eastAsia="仿宋_GB2312" w:cs="宋体"/>
          <w:b/>
          <w:bCs/>
          <w:sz w:val="24"/>
        </w:rPr>
      </w:pPr>
      <w:r>
        <w:rPr>
          <w:rFonts w:ascii="仿宋_GB2312" w:hAnsi="宋体" w:eastAsia="仿宋_GB2312" w:cs="宋体"/>
          <w:b/>
          <w:bCs/>
          <w:sz w:val="24"/>
        </w:rPr>
        <w:t xml:space="preserve">8.2.7.3 </w:t>
      </w:r>
      <w:r>
        <w:rPr>
          <w:rFonts w:hint="eastAsia" w:ascii="仿宋_GB2312" w:hAnsi="宋体" w:eastAsia="仿宋_GB2312" w:cs="宋体"/>
          <w:b/>
          <w:bCs/>
          <w:sz w:val="24"/>
        </w:rPr>
        <w:t>成品加工</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食品烹饪的温度和时间应能保证食品安全。需要烧熟煮透的食品，加工制作时食品的中心温度应达到70℃以上。对特殊加工制作工艺，中心温度低于70℃的食品，应采取措施，确保食品安全。</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盛放调味料的容器是否清洁，使用后加盖存放，应加贴标签标注生产日期/调制日期、开封日期及保质期。</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食品煎炸所使用的食用油色泽、气味、状态应无异常，必要时应进行检测。</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应采取有效措施，避免或减少食品在烹饪过程中产生有害物质。</w:t>
      </w:r>
    </w:p>
    <w:p>
      <w:pPr>
        <w:spacing w:line="360" w:lineRule="auto"/>
        <w:rPr>
          <w:rFonts w:hint="eastAsia" w:ascii="仿宋_GB2312" w:hAnsi="宋体" w:eastAsia="仿宋_GB2312" w:cs="宋体"/>
          <w:b/>
          <w:bCs/>
          <w:sz w:val="24"/>
        </w:rPr>
      </w:pPr>
      <w:r>
        <w:rPr>
          <w:rFonts w:ascii="仿宋_GB2312" w:hAnsi="宋体" w:eastAsia="仿宋_GB2312" w:cs="宋体"/>
          <w:b/>
          <w:bCs/>
          <w:sz w:val="24"/>
        </w:rPr>
        <w:t>8.2.</w:t>
      </w:r>
      <w:r>
        <w:rPr>
          <w:rFonts w:hint="eastAsia" w:ascii="仿宋_GB2312" w:hAnsi="宋体" w:eastAsia="仿宋_GB2312" w:cs="宋体"/>
          <w:b/>
          <w:bCs/>
          <w:sz w:val="24"/>
        </w:rPr>
        <w:t>7.4 专间/专用操作区</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应制定专间/专用操作区加工制作操作管理规范，明确专间/专用操作区的标识、设施、环境、人员及操作要求。</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专间的门和食品传递窗口应及时关闭。专间内温度应不超过25°C。</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每餐或每班使用专间前，应对操作台面和专间空气进行消毒。专间和专用操作区使用的容器、工具、设备和清洁工具应在使用前清洗消毒。</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专间和专用操作区应专人加工制作，从业人员和专用操作区从业人员操作时，应按要求穿戴工作服和口罩，按要求清洗消毒手部。</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进入专间和放在专用操作区的食品应为直接入口食品，应避免受到污染。 不得在专间或专用操作区从事非清洁操作区的加工制作活动。</w:t>
      </w:r>
    </w:p>
    <w:p>
      <w:pPr>
        <w:spacing w:line="360" w:lineRule="auto"/>
        <w:rPr>
          <w:rFonts w:hint="eastAsia" w:ascii="仿宋_GB2312" w:hAnsi="宋体" w:eastAsia="仿宋_GB2312" w:cs="宋体"/>
          <w:b/>
          <w:bCs/>
          <w:sz w:val="24"/>
        </w:rPr>
      </w:pPr>
      <w:r>
        <w:rPr>
          <w:rFonts w:ascii="仿宋_GB2312" w:hAnsi="宋体" w:eastAsia="仿宋_GB2312" w:cs="宋体"/>
          <w:b/>
          <w:bCs/>
          <w:sz w:val="24"/>
        </w:rPr>
        <w:t>8.2</w:t>
      </w:r>
      <w:r>
        <w:rPr>
          <w:rFonts w:hint="eastAsia" w:ascii="仿宋_GB2312" w:hAnsi="宋体" w:eastAsia="仿宋_GB2312" w:cs="宋体"/>
          <w:b/>
          <w:bCs/>
          <w:sz w:val="24"/>
        </w:rPr>
        <w:t>.7.5 食品添加剂</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应制定食品添加剂使用管理制度，确保添加剂的正确采购、贮存、及使用，应符合GB 2760《食品安全国家标准 食品添加剂使用标准》的要求。</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食品添加的标签应标注使用范围、用量、使用方法等内容；使用容器盛放拆包后的食品添加剂的，应在盛放容器上标明食品添加剂名称，并保留原包装。</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使用时应精准称量使用，不得超范围或超量使用食品添加剂。</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应专册记录使用的食品添加剂名称、生产日期或批号、添加的食品品种、添加量、添加时间、操作人员等信息。</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8.2.</w:t>
      </w:r>
      <w:r>
        <w:rPr>
          <w:rFonts w:hint="eastAsia" w:ascii="仿宋_GB2312" w:hAnsi="宋体" w:eastAsia="仿宋_GB2312" w:cs="宋体"/>
          <w:sz w:val="24"/>
        </w:rPr>
        <w:t>7.6 高温易腐食品加工</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需要冷冻（藏）的易腐食品（含半成品）应在熟制后立即冷却。</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烹饪完毕至食用超过2h的易腐食品，应在高于60℃或低于8℃的条件下存放。</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应在清洁操作区内进行熟制成品的冷却，并在盛放容器上标注加工制作时间等。</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再加热食品时应按安全的烹饪温度和时间要求进行再加热。</w:t>
      </w:r>
    </w:p>
    <w:p>
      <w:pPr>
        <w:tabs>
          <w:tab w:val="left" w:pos="3535"/>
        </w:tabs>
        <w:spacing w:line="360" w:lineRule="auto"/>
        <w:ind w:firstLine="480" w:firstLineChars="200"/>
        <w:rPr>
          <w:rFonts w:ascii="仿宋_GB2312" w:hAnsi="宋体" w:eastAsia="仿宋_GB2312" w:cs="宋体"/>
          <w:sz w:val="24"/>
        </w:rPr>
      </w:pPr>
      <w:r>
        <w:rPr>
          <w:rFonts w:hint="eastAsia" w:ascii="仿宋_GB2312" w:hAnsi="宋体" w:eastAsia="仿宋_GB2312" w:cs="宋体"/>
          <w:sz w:val="24"/>
        </w:rPr>
        <w:t>食品加热不得超过一次，再加热后仍未在规定时间内用完的食物是否进行废弃处理。</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b/>
          <w:bCs/>
          <w:sz w:val="24"/>
        </w:rPr>
        <w:t>10.2</w:t>
      </w:r>
      <w:r>
        <w:rPr>
          <w:rFonts w:hint="eastAsia" w:ascii="仿宋_GB2312" w:hAnsi="宋体" w:eastAsia="仿宋_GB2312" w:cs="宋体"/>
          <w:b/>
          <w:bCs/>
          <w:sz w:val="24"/>
        </w:rPr>
        <w:t>.7.7 食品留样</w:t>
      </w:r>
    </w:p>
    <w:p>
      <w:pPr>
        <w:tabs>
          <w:tab w:val="left" w:pos="3535"/>
        </w:tabs>
        <w:spacing w:line="360" w:lineRule="auto"/>
        <w:ind w:left="420" w:leftChars="200"/>
        <w:rPr>
          <w:rFonts w:hint="eastAsia" w:ascii="仿宋_GB2312" w:hAnsi="宋体" w:eastAsia="仿宋_GB2312" w:cs="宋体"/>
          <w:sz w:val="24"/>
        </w:rPr>
      </w:pPr>
      <w:r>
        <w:rPr>
          <w:rFonts w:hint="eastAsia" w:ascii="仿宋_GB2312" w:hAnsi="宋体" w:eastAsia="仿宋_GB2312" w:cs="宋体"/>
          <w:sz w:val="24"/>
        </w:rPr>
        <w:t>一次性集体聚餐人数超过100人或为重大活动供餐的时，每餐次的食品成品均应留样。9每个品种的留样量应能满足检验检测需要，且不少于125g。</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留样食品应分别盛放于清洗消毒后的专用密闭容器内，在专用冷藏设备中冷藏存放48小时以上。</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盛放留样食品的容器应标注留样食品名称、留样时间（月、日、时），或者标注与留样记录相对应的标识。</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应由专人管理留样食品、记录留样情况。</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b/>
          <w:bCs/>
          <w:sz w:val="24"/>
        </w:rPr>
        <w:t>8.2</w:t>
      </w:r>
      <w:r>
        <w:rPr>
          <w:rFonts w:hint="eastAsia" w:ascii="仿宋_GB2312" w:hAnsi="宋体" w:eastAsia="仿宋_GB2312" w:cs="宋体"/>
          <w:b/>
          <w:bCs/>
          <w:sz w:val="24"/>
        </w:rPr>
        <w:t>.7.8 食品配送</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顾客点菜用的菜单，应定期消毒和检查。传递食品时应使用适当的防护措施保证食品不被污染。</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服务人员应使用手套或其他措施防止未经清洁的手接触食品。</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b/>
          <w:bCs/>
          <w:sz w:val="24"/>
        </w:rPr>
        <w:t>8.2.8</w:t>
      </w:r>
      <w:r>
        <w:rPr>
          <w:rFonts w:hint="eastAsia" w:ascii="仿宋_GB2312" w:hAnsi="宋体" w:eastAsia="仿宋_GB2312" w:cs="宋体"/>
          <w:b/>
          <w:bCs/>
          <w:sz w:val="24"/>
        </w:rPr>
        <w:t>验证</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8.2.8.1</w:t>
      </w:r>
      <w:r>
        <w:rPr>
          <w:rFonts w:hint="eastAsia" w:ascii="仿宋_GB2312" w:hAnsi="宋体" w:eastAsia="仿宋_GB2312" w:cs="宋体"/>
          <w:sz w:val="24"/>
        </w:rPr>
        <w:t>应根据自身的食品安全风险分析结果，确定验证项目，建立食品安全验证管理制度，定期对食品工器具、餐饮具、紫外线强度、冷热保藏设施温度及操作过程污染情况等项目进行验证。</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 xml:space="preserve">8.2.8.2 </w:t>
      </w:r>
      <w:r>
        <w:rPr>
          <w:rFonts w:hint="eastAsia" w:ascii="仿宋_GB2312" w:hAnsi="宋体" w:eastAsia="仿宋_GB2312" w:cs="宋体"/>
          <w:sz w:val="24"/>
        </w:rPr>
        <w:t>应按规定实施验证，并保留相关记录。委托第三方机构进行检验检测的，应确认其资质。</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b/>
          <w:bCs/>
          <w:sz w:val="24"/>
        </w:rPr>
        <w:t xml:space="preserve">8.3 </w:t>
      </w:r>
      <w:r>
        <w:rPr>
          <w:rFonts w:hint="eastAsia" w:ascii="仿宋_GB2312" w:hAnsi="宋体" w:eastAsia="仿宋_GB2312" w:cs="宋体"/>
          <w:b/>
          <w:bCs/>
          <w:sz w:val="24"/>
        </w:rPr>
        <w:t>社会责任及品牌建设</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b/>
          <w:bCs/>
          <w:sz w:val="24"/>
        </w:rPr>
        <w:t>8.3.1</w:t>
      </w:r>
      <w:r>
        <w:rPr>
          <w:rFonts w:hint="eastAsia" w:ascii="仿宋_GB2312" w:hAnsi="宋体" w:eastAsia="仿宋_GB2312" w:cs="宋体"/>
          <w:b/>
          <w:bCs/>
          <w:sz w:val="24"/>
        </w:rPr>
        <w:t xml:space="preserve"> 社会责任</w:t>
      </w:r>
    </w:p>
    <w:p>
      <w:pPr>
        <w:tabs>
          <w:tab w:val="left" w:pos="3535"/>
        </w:tabs>
        <w:spacing w:line="360" w:lineRule="auto"/>
        <w:rPr>
          <w:rFonts w:ascii="仿宋_GB2312" w:hAnsi="宋体" w:eastAsia="仿宋_GB2312" w:cs="宋体"/>
          <w:b/>
          <w:bCs/>
          <w:sz w:val="24"/>
        </w:rPr>
      </w:pPr>
      <w:r>
        <w:rPr>
          <w:rFonts w:ascii="仿宋_GB2312" w:hAnsi="宋体" w:eastAsia="仿宋_GB2312" w:cs="宋体"/>
          <w:b/>
          <w:bCs/>
          <w:sz w:val="24"/>
        </w:rPr>
        <w:t xml:space="preserve">8.3.1.1 </w:t>
      </w:r>
      <w:r>
        <w:rPr>
          <w:rFonts w:hint="eastAsia" w:ascii="仿宋_GB2312" w:hAnsi="宋体" w:eastAsia="仿宋_GB2312" w:cs="宋体"/>
          <w:b/>
          <w:bCs/>
          <w:sz w:val="24"/>
        </w:rPr>
        <w:t>环境及卫生条件</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1</w:t>
      </w:r>
      <w:r>
        <w:rPr>
          <w:rFonts w:hint="eastAsia" w:ascii="仿宋_GB2312" w:hAnsi="宋体" w:eastAsia="仿宋_GB2312" w:cs="宋体"/>
          <w:sz w:val="24"/>
        </w:rPr>
        <w:t>） 餐饮单位的就餐环境应干净整洁、通风良好、温度适宜、标识清晰、专用设备应配置齐全（如爱心座椅、儿童桌椅等）。</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2</w:t>
      </w:r>
      <w:r>
        <w:rPr>
          <w:rFonts w:hint="eastAsia" w:ascii="仿宋_GB2312" w:hAnsi="宋体" w:eastAsia="仿宋_GB2312" w:cs="宋体"/>
          <w:sz w:val="24"/>
        </w:rPr>
        <w:t>） 卫生间卫生条件应有良好的通风设施，无异味。洗手间与厕间以及错位间有隔断，厕位数量满足客人使。出口处应设置洗手设施，有感应式水龙头。客用品齐备，皂液器、纸框、卫生纸、挂物勾、擦手巾、烘干器等。员工与客人使用卫生间应分设。</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应定时清洁卫生间，做好清洁记录。</w:t>
      </w:r>
    </w:p>
    <w:p>
      <w:pPr>
        <w:tabs>
          <w:tab w:val="left" w:pos="3535"/>
        </w:tabs>
        <w:spacing w:line="360" w:lineRule="auto"/>
        <w:rPr>
          <w:rFonts w:ascii="仿宋_GB2312" w:hAnsi="宋体" w:eastAsia="仿宋_GB2312" w:cs="宋体"/>
          <w:b/>
          <w:bCs/>
          <w:sz w:val="24"/>
        </w:rPr>
      </w:pPr>
      <w:r>
        <w:rPr>
          <w:rFonts w:ascii="仿宋_GB2312" w:hAnsi="宋体" w:eastAsia="仿宋_GB2312" w:cs="宋体"/>
          <w:b/>
          <w:bCs/>
          <w:sz w:val="24"/>
        </w:rPr>
        <w:t xml:space="preserve">8.3.1.2 </w:t>
      </w:r>
      <w:r>
        <w:rPr>
          <w:rFonts w:hint="eastAsia" w:ascii="仿宋_GB2312" w:hAnsi="宋体" w:eastAsia="仿宋_GB2312" w:cs="宋体"/>
          <w:b/>
          <w:bCs/>
          <w:sz w:val="24"/>
        </w:rPr>
        <w:t>明厨亮灶</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采用透明厨房、视频厨房、互联网厨房等方式实现明厨亮灶，向公众展示餐饮烹饪及服务相关过程。</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b/>
          <w:bCs/>
          <w:sz w:val="24"/>
        </w:rPr>
        <w:t xml:space="preserve">8.3.1.3 </w:t>
      </w:r>
      <w:r>
        <w:rPr>
          <w:rFonts w:hint="eastAsia" w:ascii="仿宋_GB2312" w:hAnsi="宋体" w:eastAsia="仿宋_GB2312" w:cs="宋体"/>
          <w:b/>
          <w:bCs/>
          <w:sz w:val="24"/>
        </w:rPr>
        <w:t>菜品标准化</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1</w:t>
      </w:r>
      <w:r>
        <w:rPr>
          <w:rFonts w:hint="eastAsia" w:ascii="仿宋_GB2312" w:hAnsi="宋体" w:eastAsia="仿宋_GB2312" w:cs="宋体"/>
          <w:sz w:val="24"/>
        </w:rPr>
        <w:t>） 宜建立厨师级别晋升考核机制，充分调动厨师的主动性和积极性，提升技术水平，保证菜品质量及标准化程度。</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2</w:t>
      </w:r>
      <w:r>
        <w:rPr>
          <w:rFonts w:hint="eastAsia" w:ascii="仿宋_GB2312" w:hAnsi="宋体" w:eastAsia="仿宋_GB2312" w:cs="宋体"/>
          <w:sz w:val="24"/>
        </w:rPr>
        <w:t>） 应根据菜品的特点，分别编制菜品加工操作规范，包括但不限于主/辅料初加工、半成品加工、菜品分配和菜品烹调及出品等工序，标准化工艺流程。</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3</w:t>
      </w:r>
      <w:r>
        <w:rPr>
          <w:rFonts w:hint="eastAsia" w:ascii="仿宋_GB2312" w:hAnsi="宋体" w:eastAsia="仿宋_GB2312" w:cs="宋体"/>
          <w:sz w:val="24"/>
        </w:rPr>
        <w:t>） 菜品加工人员应按照操作规范要求严格操作，各工序分工明确，主料、配料专人加工切配，明示投料标准、主料过称，确保菜品质量和稳定性。</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4</w:t>
      </w:r>
      <w:r>
        <w:rPr>
          <w:rFonts w:hint="eastAsia" w:ascii="仿宋_GB2312" w:hAnsi="宋体" w:eastAsia="仿宋_GB2312" w:cs="宋体"/>
          <w:sz w:val="24"/>
        </w:rPr>
        <w:t>） 宜设立专门人员对菜品制作过程及最终出品质量进行监督与检查。</w:t>
      </w:r>
    </w:p>
    <w:p>
      <w:pPr>
        <w:tabs>
          <w:tab w:val="left" w:pos="3535"/>
        </w:tabs>
        <w:spacing w:line="360" w:lineRule="auto"/>
        <w:rPr>
          <w:rFonts w:ascii="仿宋_GB2312" w:hAnsi="宋体" w:eastAsia="仿宋_GB2312" w:cs="宋体"/>
          <w:b/>
          <w:bCs/>
          <w:sz w:val="24"/>
        </w:rPr>
      </w:pPr>
      <w:r>
        <w:rPr>
          <w:rFonts w:ascii="仿宋_GB2312" w:hAnsi="宋体" w:eastAsia="仿宋_GB2312" w:cs="宋体"/>
          <w:b/>
          <w:bCs/>
          <w:sz w:val="24"/>
        </w:rPr>
        <w:t>8.3.</w:t>
      </w:r>
      <w:r>
        <w:rPr>
          <w:rFonts w:hint="eastAsia" w:ascii="仿宋_GB2312" w:hAnsi="宋体" w:eastAsia="仿宋_GB2312" w:cs="宋体"/>
          <w:b/>
          <w:bCs/>
          <w:sz w:val="24"/>
        </w:rPr>
        <w:t>1.4 饭餐饮浪费措施</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应积极开展反餐饮浪费行动，响应光盘行动，减少食物浪费现象，包括但不限于以下：</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—在餐饮服务场所醒目位置张贴或者摆放节约食物、文明用餐、杜绝浪费等标识标牌；</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—明示服务项目和收费标准，不得设置最低消费额；</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—不得误导、诱导消费者过量点餐，在订餐、点餐、加餐等环节提醒消费者适度点餐，发现消费者明显过量点餐的，主动进行提醒劝告；</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—根据消费者需求可以提供小份、小量组合等不同规格、不同份量符合节约要求的餐品；</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—餐饮服务经营者在菜单上标注餐品名称、份量、口味、建议用餐人数等信息；</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—推行聚餐分餐制，提供公筷、公勺，减少提供一次性餐具；</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—在消费者用餐后提示消费者打包剩余饭菜，配备卫生环保的餐盒、餐袋等用具，免费提供打包服务；</w:t>
      </w:r>
    </w:p>
    <w:p>
      <w:pPr>
        <w:tabs>
          <w:tab w:val="left" w:pos="3535"/>
        </w:tabs>
        <w:spacing w:line="360" w:lineRule="auto"/>
        <w:rPr>
          <w:rFonts w:hint="eastAsia" w:ascii="仿宋_GB2312" w:hAnsi="宋体" w:eastAsia="仿宋_GB2312" w:cs="宋体"/>
          <w:sz w:val="24"/>
        </w:rPr>
      </w:pPr>
      <w:r>
        <w:rPr>
          <w:rFonts w:hint="eastAsia" w:ascii="仿宋_GB2312" w:hAnsi="宋体" w:eastAsia="仿宋_GB2312" w:cs="宋体"/>
          <w:sz w:val="24"/>
        </w:rPr>
        <w:t>—餐饮单位宜通过光盘优惠、光盘积分、停车优惠等方式对配合反餐饮浪费的行为的消费者进行奖励。</w:t>
      </w:r>
    </w:p>
    <w:p>
      <w:pPr>
        <w:tabs>
          <w:tab w:val="left" w:pos="3535"/>
        </w:tabs>
        <w:spacing w:line="360" w:lineRule="auto"/>
        <w:rPr>
          <w:rFonts w:ascii="仿宋_GB2312" w:hAnsi="宋体" w:eastAsia="仿宋_GB2312" w:cs="宋体"/>
          <w:b/>
          <w:bCs/>
          <w:sz w:val="24"/>
        </w:rPr>
      </w:pPr>
      <w:r>
        <w:rPr>
          <w:rFonts w:ascii="仿宋_GB2312" w:hAnsi="宋体" w:eastAsia="仿宋_GB2312" w:cs="宋体"/>
          <w:b/>
          <w:bCs/>
          <w:sz w:val="24"/>
        </w:rPr>
        <w:t>8.3</w:t>
      </w:r>
      <w:r>
        <w:rPr>
          <w:rFonts w:hint="eastAsia" w:ascii="仿宋_GB2312" w:hAnsi="宋体" w:eastAsia="仿宋_GB2312" w:cs="宋体"/>
          <w:b/>
          <w:bCs/>
          <w:sz w:val="24"/>
        </w:rPr>
        <w:t>.1.5 应急预案</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应建立应对可能发生潜在食品安全事故或消防安全事故等其他紧急情况的应急程序和预案，确保发生应急事件时，能采取以下措施：</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 xml:space="preserve">—立即停止生产经营活动，并向主管部门报告； </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—保留造成食物中毒或可能导致食物中毒的食品及原料、工具、设备和现场，并追回造成食物中毒或可能导致食物中毒的食品；</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—有序疏散人员，并降低人员生命健康及财产安全；</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—配合相关部门进行溯源和追踪调查；</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—落实相关部门要求采取的其他控制措施。</w:t>
      </w:r>
    </w:p>
    <w:p>
      <w:pPr>
        <w:tabs>
          <w:tab w:val="left" w:pos="3535"/>
        </w:tabs>
        <w:spacing w:line="360" w:lineRule="auto"/>
        <w:rPr>
          <w:rFonts w:ascii="仿宋_GB2312" w:hAnsi="宋体" w:eastAsia="仿宋_GB2312" w:cs="宋体"/>
          <w:b/>
          <w:bCs/>
          <w:sz w:val="24"/>
        </w:rPr>
      </w:pPr>
      <w:r>
        <w:rPr>
          <w:rFonts w:ascii="仿宋_GB2312" w:hAnsi="宋体" w:eastAsia="仿宋_GB2312" w:cs="宋体"/>
          <w:b/>
          <w:bCs/>
          <w:sz w:val="24"/>
        </w:rPr>
        <w:t>8.3</w:t>
      </w:r>
      <w:r>
        <w:rPr>
          <w:rFonts w:hint="eastAsia" w:ascii="仿宋_GB2312" w:hAnsi="宋体" w:eastAsia="仿宋_GB2312" w:cs="宋体"/>
          <w:b/>
          <w:bCs/>
          <w:sz w:val="24"/>
        </w:rPr>
        <w:t>.1.6 投诉处理</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sz w:val="24"/>
        </w:rPr>
        <w:t>1</w:t>
      </w:r>
      <w:r>
        <w:rPr>
          <w:rFonts w:hint="eastAsia" w:ascii="仿宋_GB2312" w:hAnsi="宋体" w:eastAsia="仿宋_GB2312" w:cs="宋体"/>
          <w:sz w:val="24"/>
        </w:rPr>
        <w:t>） 应建立面向顾客的投诉处理机制，可包括但不限于:</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—接待客户投诉态度真诚，准确记录投诉人姓名，投诉事由，及时处理不推诿；</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—在合理或承诺的期限内完成投诉处理,投诉处理的结果应及时反馈给投诉者；</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—所有投诉应有记录,并可提供投诉处理的进度查询。</w:t>
      </w:r>
    </w:p>
    <w:p>
      <w:pPr>
        <w:tabs>
          <w:tab w:val="left" w:pos="3535"/>
        </w:tabs>
        <w:spacing w:line="360" w:lineRule="auto"/>
        <w:rPr>
          <w:rFonts w:hint="eastAsia" w:ascii="仿宋_GB2312" w:hAnsi="宋体" w:eastAsia="仿宋_GB2312" w:cs="宋体"/>
          <w:sz w:val="24"/>
        </w:rPr>
      </w:pPr>
      <w:r>
        <w:rPr>
          <w:rFonts w:ascii="仿宋_GB2312" w:hAnsi="宋体" w:eastAsia="仿宋_GB2312" w:cs="宋体"/>
          <w:sz w:val="24"/>
        </w:rPr>
        <w:t>2</w:t>
      </w:r>
      <w:r>
        <w:rPr>
          <w:rFonts w:hint="eastAsia" w:ascii="仿宋_GB2312" w:hAnsi="宋体" w:eastAsia="仿宋_GB2312" w:cs="宋体"/>
          <w:sz w:val="24"/>
        </w:rPr>
        <w:t>） 餐饮单位应建立投诉处理相关制度，包括但不限于：</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—服务补救方针；</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—道歉和承诺方案；</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—服务失误分析和分类，服务补救期望甄别；</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—紧急行动方案（含补偿）；</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—服务补救结果评价。</w:t>
      </w:r>
    </w:p>
    <w:p>
      <w:pPr>
        <w:tabs>
          <w:tab w:val="left" w:pos="3535"/>
        </w:tabs>
        <w:spacing w:line="360" w:lineRule="auto"/>
        <w:rPr>
          <w:rFonts w:ascii="仿宋_GB2312" w:hAnsi="宋体" w:eastAsia="仿宋_GB2312" w:cs="宋体"/>
          <w:b/>
          <w:bCs/>
          <w:sz w:val="24"/>
        </w:rPr>
      </w:pPr>
      <w:r>
        <w:rPr>
          <w:rFonts w:ascii="仿宋_GB2312" w:hAnsi="宋体" w:eastAsia="仿宋_GB2312" w:cs="宋体"/>
          <w:b/>
          <w:bCs/>
          <w:sz w:val="24"/>
        </w:rPr>
        <w:t>8.3.</w:t>
      </w:r>
      <w:r>
        <w:rPr>
          <w:rFonts w:hint="eastAsia" w:ascii="仿宋_GB2312" w:hAnsi="宋体" w:eastAsia="仿宋_GB2312" w:cs="宋体"/>
          <w:b/>
          <w:bCs/>
          <w:sz w:val="24"/>
        </w:rPr>
        <w:t>1.7 节能减排降耗</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餐饮单位宜制定绿色环保发展路线，逐步推进节能减排降耗等措施的落实，包括但不限于以下：</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 xml:space="preserve">—制定节能减排降耗相关管理制度； </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 xml:space="preserve">—制定节能减排目标及方案； </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 xml:space="preserve">—定期进行培训宣贯及日常检查，并保留相关培训及检查记录； </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 xml:space="preserve">—使用清洁燃料及低耗能设备设施、减少一次性餐饮用具的使用等； </w:t>
      </w:r>
    </w:p>
    <w:p>
      <w:pPr>
        <w:tabs>
          <w:tab w:val="left" w:pos="3535"/>
        </w:tabs>
        <w:spacing w:line="360" w:lineRule="auto"/>
        <w:rPr>
          <w:rFonts w:hint="eastAsia" w:ascii="仿宋_GB2312" w:hAnsi="宋体" w:eastAsia="仿宋_GB2312" w:cs="宋体"/>
          <w:b/>
          <w:bCs/>
          <w:sz w:val="24"/>
        </w:rPr>
      </w:pPr>
      <w:r>
        <w:rPr>
          <w:rFonts w:ascii="仿宋_GB2312" w:hAnsi="宋体" w:eastAsia="仿宋_GB2312" w:cs="宋体"/>
          <w:b/>
          <w:bCs/>
          <w:sz w:val="24"/>
        </w:rPr>
        <w:t>8.3.</w:t>
      </w:r>
      <w:r>
        <w:rPr>
          <w:rFonts w:hint="eastAsia" w:ascii="仿宋_GB2312" w:hAnsi="宋体" w:eastAsia="仿宋_GB2312" w:cs="宋体"/>
          <w:b/>
          <w:bCs/>
          <w:sz w:val="24"/>
        </w:rPr>
        <w:t>2 品牌建设</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餐饮单位宜制定并实施品牌建设和管理制度，制定品牌战略和规划，并配制资源开展品牌宣传，维护品牌形象，包括但不限于以下：</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—在目前所在位置连续经营满10年以上20年以下的；</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—在目前所在位置连续经营满20年以上的；</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—拥有自主品牌商标所有权且在有效期内；</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 xml:space="preserve">—拥有私域宣传推广及服务平台，可定期推送相关饮食文化、美食介绍、新品发布等内容； </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—获得区级政府颁发的相关品牌认可，如地方老字号、非物质文化遗产名录等荣誉；</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—获得市级及以上政府颁发的相关品牌认可，如地方老字号、非物质文化遗产名录等荣誉；</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—拥有非遗传承人、中国烹饪名师、大师等知名大厨；</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—企业责任（安置员工人数、公益慈善等）；</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—弘扬或传承饮食文化（开设博物馆、展览馆、体验馆、专题展销等）；</w:t>
      </w:r>
    </w:p>
    <w:p>
      <w:pPr>
        <w:tabs>
          <w:tab w:val="left" w:pos="3535"/>
        </w:tabs>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—品牌创新或服务创新所采取的其他措施可酌情加分。</w:t>
      </w:r>
    </w:p>
    <w:p>
      <w:pPr>
        <w:spacing w:line="360" w:lineRule="auto"/>
        <w:ind w:firstLine="4498" w:firstLineChars="1600"/>
        <w:rPr>
          <w:rFonts w:hint="eastAsia" w:ascii="仿宋_GB2312" w:eastAsia="仿宋_GB2312" w:cs="仿宋_GB2312"/>
          <w:b/>
          <w:bCs/>
          <w:sz w:val="28"/>
          <w:szCs w:val="28"/>
        </w:rPr>
      </w:pPr>
    </w:p>
    <w:p>
      <w:pPr>
        <w:spacing w:line="360" w:lineRule="auto"/>
        <w:ind w:firstLine="4498" w:firstLineChars="1600"/>
        <w:rPr>
          <w:rFonts w:hint="eastAsia" w:ascii="仿宋_GB2312" w:hAnsi="宋体" w:eastAsia="仿宋_GB2312" w:cs="宋体"/>
          <w:sz w:val="28"/>
          <w:szCs w:val="28"/>
        </w:rPr>
      </w:pPr>
      <w:r>
        <w:rPr>
          <w:rFonts w:hint="eastAsia" w:ascii="仿宋_GB2312" w:eastAsia="仿宋_GB2312" w:cs="仿宋_GB2312"/>
          <w:b/>
          <w:bCs/>
          <w:sz w:val="28"/>
          <w:szCs w:val="28"/>
        </w:rPr>
        <w:t>附 录</w:t>
      </w:r>
    </w:p>
    <w:p>
      <w:pPr>
        <w:ind w:firstLine="3855" w:firstLineChars="1600"/>
        <w:rPr>
          <w:rFonts w:hint="eastAsia" w:ascii="仿宋_GB2312" w:eastAsia="仿宋_GB2312" w:cs="仿宋_GB2312"/>
          <w:b/>
          <w:bCs/>
          <w:sz w:val="24"/>
        </w:rPr>
      </w:pPr>
      <w:r>
        <w:rPr>
          <w:rFonts w:hint="eastAsia" w:ascii="仿宋_GB2312" w:eastAsia="仿宋_GB2312" w:cs="仿宋_GB2312"/>
          <w:b/>
          <w:bCs/>
          <w:sz w:val="24"/>
        </w:rPr>
        <w:t>评定指标及分值分布</w:t>
      </w:r>
    </w:p>
    <w:tbl>
      <w:tblPr>
        <w:tblStyle w:val="5"/>
        <w:tblW w:w="96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693"/>
        <w:gridCol w:w="510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序号</w:t>
            </w:r>
          </w:p>
        </w:tc>
        <w:tc>
          <w:tcPr>
            <w:tcW w:w="269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评价要素（分值）</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评价内容</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restart"/>
            <w:tcBorders>
              <w:top w:val="single" w:color="auto" w:sz="4" w:space="0"/>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 市场反馈及消费者综合评价（600分）</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1.1 互联网平台消费者评价</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1.2 消费者投诉（12315</w:t>
            </w:r>
            <w:r>
              <w:rPr>
                <w:rFonts w:hint="eastAsia" w:ascii="仿宋_GB2312" w:hAnsi="仿宋" w:eastAsia="仿宋_GB2312" w:cs="仿宋"/>
                <w:color w:val="000000"/>
                <w:kern w:val="0"/>
                <w:sz w:val="24"/>
                <w:lang w:eastAsia="zh-CN" w:bidi="ar"/>
              </w:rPr>
              <w:t>、</w:t>
            </w:r>
            <w:r>
              <w:rPr>
                <w:rFonts w:hint="eastAsia" w:ascii="仿宋_GB2312" w:hAnsi="仿宋" w:eastAsia="仿宋_GB2312" w:cs="仿宋"/>
                <w:color w:val="000000"/>
                <w:kern w:val="0"/>
                <w:sz w:val="24"/>
                <w:lang w:val="en-US" w:eastAsia="zh-CN" w:bidi="ar"/>
              </w:rPr>
              <w:t>12345</w:t>
            </w:r>
            <w:r>
              <w:rPr>
                <w:rFonts w:hint="eastAsia" w:ascii="仿宋_GB2312" w:hAnsi="仿宋" w:eastAsia="仿宋_GB2312" w:cs="仿宋"/>
                <w:color w:val="000000"/>
                <w:kern w:val="0"/>
                <w:sz w:val="24"/>
                <w:lang w:bidi="ar"/>
              </w:rPr>
              <w:t>热线）</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restart"/>
            <w:tcBorders>
              <w:top w:val="single" w:color="auto" w:sz="4" w:space="0"/>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 食品安全管理体系（200）</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2.1 总体要求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2.2 食品安全方针和目标</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2.3 主体责任</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2.4 人力资源</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2.5 危害分析及控制</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2.6 前提方案</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2.7 加工过程4D管理</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2.8 验证</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restart"/>
            <w:tcBorders>
              <w:top w:val="single" w:color="auto" w:sz="4" w:space="0"/>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3 社会责任及品牌建设（200分）</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3.1 社会责任</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blHead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9"/>
              <w:numPr>
                <w:ilvl w:val="0"/>
                <w:numId w:val="2"/>
              </w:numPr>
              <w:ind w:firstLineChars="0"/>
              <w:jc w:val="right"/>
              <w:rPr>
                <w:rFonts w:hint="eastAsia" w:ascii="仿宋_GB2312" w:hAnsi="仿宋" w:eastAsia="仿宋_GB2312" w:cs="仿宋"/>
                <w:color w:val="000000"/>
                <w:kern w:val="0"/>
                <w:sz w:val="24"/>
                <w:lang w:bidi="ar"/>
              </w:rPr>
            </w:pPr>
          </w:p>
        </w:tc>
        <w:tc>
          <w:tcPr>
            <w:tcW w:w="2693" w:type="dxa"/>
            <w:vMerge w:val="continue"/>
            <w:tcBorders>
              <w:left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3.2 品牌建设</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仿宋_GB2312" w:hAnsi="仿宋" w:eastAsia="仿宋_GB2312" w:cs="仿宋"/>
                <w:color w:val="000000"/>
                <w:kern w:val="0"/>
                <w:sz w:val="24"/>
                <w:lang w:bidi="ar"/>
              </w:rPr>
            </w:pPr>
            <w:r>
              <w:rPr>
                <w:rFonts w:hint="eastAsia" w:ascii="仿宋_GB2312" w:hAnsi="仿宋" w:eastAsia="仿宋_GB2312" w:cs="仿宋"/>
                <w:color w:val="000000"/>
                <w:kern w:val="0"/>
                <w:sz w:val="24"/>
                <w:lang w:bidi="ar"/>
              </w:rPr>
              <w:t>80</w:t>
            </w:r>
          </w:p>
        </w:tc>
      </w:tr>
    </w:tbl>
    <w:p>
      <w:pPr>
        <w:spacing w:line="360" w:lineRule="auto"/>
        <w:rPr>
          <w:rFonts w:hint="eastAsia" w:ascii="仿宋_GB2312" w:eastAsia="仿宋_GB2312" w:cs="仿宋_GB2312"/>
          <w:sz w:val="24"/>
        </w:rPr>
      </w:pPr>
      <w:r>
        <w:rPr>
          <w:rFonts w:hint="eastAsia" w:ascii="仿宋_GB2312" w:eastAsia="仿宋_GB2312" w:cs="仿宋_GB2312"/>
          <w:sz w:val="24"/>
        </w:rPr>
        <w:t xml:space="preserve">  2、分级评价级别划分标准：</w:t>
      </w:r>
    </w:p>
    <w:p>
      <w:pPr>
        <w:spacing w:line="360" w:lineRule="auto"/>
        <w:ind w:firstLine="240" w:firstLineChars="100"/>
        <w:rPr>
          <w:rFonts w:hint="eastAsia" w:ascii="仿宋_GB2312" w:eastAsia="仿宋_GB2312" w:cs="仿宋_GB2312"/>
          <w:sz w:val="24"/>
        </w:rPr>
      </w:pPr>
      <w:r>
        <w:rPr>
          <w:rFonts w:hint="eastAsia" w:ascii="仿宋_GB2312" w:eastAsia="仿宋_GB2312" w:cs="仿宋_GB2312"/>
          <w:sz w:val="24"/>
        </w:rPr>
        <w:t>根据评分值以不同级别评价申请方的优质程度，按照以下标准进行级别划分:</w:t>
      </w:r>
    </w:p>
    <w:p>
      <w:pPr>
        <w:spacing w:line="360" w:lineRule="auto"/>
        <w:ind w:firstLine="175" w:firstLineChars="73"/>
        <w:rPr>
          <w:rFonts w:hint="eastAsia" w:ascii="仿宋_GB2312" w:eastAsia="仿宋_GB2312" w:cs="仿宋_GB2312"/>
          <w:sz w:val="24"/>
        </w:rPr>
      </w:pPr>
      <w:r>
        <w:rPr>
          <w:rFonts w:hint="eastAsia" w:ascii="仿宋_GB2312" w:eastAsia="仿宋_GB2312" w:cs="仿宋_GB2312"/>
          <w:sz w:val="24"/>
        </w:rPr>
        <w:t>a）700-799分，三星级;</w:t>
      </w:r>
    </w:p>
    <w:p>
      <w:pPr>
        <w:spacing w:line="360" w:lineRule="auto"/>
        <w:ind w:firstLine="175" w:firstLineChars="73"/>
        <w:rPr>
          <w:rFonts w:hint="eastAsia" w:ascii="仿宋_GB2312" w:eastAsia="仿宋_GB2312" w:cs="仿宋_GB2312"/>
          <w:sz w:val="24"/>
        </w:rPr>
      </w:pPr>
      <w:r>
        <w:rPr>
          <w:rFonts w:hint="eastAsia" w:ascii="仿宋_GB2312" w:eastAsia="仿宋_GB2312" w:cs="仿宋_GB2312"/>
          <w:sz w:val="24"/>
        </w:rPr>
        <w:t>b）800-899分，四星级;</w:t>
      </w:r>
    </w:p>
    <w:p>
      <w:pPr>
        <w:spacing w:line="360" w:lineRule="auto"/>
        <w:ind w:firstLine="175" w:firstLineChars="73"/>
        <w:jc w:val="left"/>
        <w:rPr>
          <w:rFonts w:hint="eastAsia" w:ascii="仿宋_GB2312" w:hAnsi="宋体" w:eastAsia="仿宋_GB2312" w:cs="宋体"/>
          <w:sz w:val="24"/>
        </w:rPr>
      </w:pPr>
      <w:r>
        <w:rPr>
          <w:rFonts w:hint="eastAsia" w:ascii="仿宋_GB2312" w:eastAsia="仿宋_GB2312" w:cs="仿宋_GB2312"/>
          <w:sz w:val="24"/>
        </w:rPr>
        <w:t xml:space="preserve">c）900分及以上，五星级。  </w:t>
      </w:r>
    </w:p>
    <w:sectPr>
      <w:headerReference r:id="rId6" w:type="default"/>
      <w:footerReference r:id="rId7"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3"/>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3"/>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19</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posOffset>2636520</wp:posOffset>
              </wp:positionH>
              <wp:positionV relativeFrom="paragraph">
                <wp:posOffset>-1270</wp:posOffset>
              </wp:positionV>
              <wp:extent cx="1104900" cy="167640"/>
              <wp:effectExtent l="0" t="0" r="0" b="3810"/>
              <wp:wrapNone/>
              <wp:docPr id="1" name="文本框 1"/>
              <wp:cNvGraphicFramePr/>
              <a:graphic xmlns:a="http://schemas.openxmlformats.org/drawingml/2006/main">
                <a:graphicData uri="http://schemas.microsoft.com/office/word/2010/wordprocessingShape">
                  <wps:wsp>
                    <wps:cNvSpPr txBox="1"/>
                    <wps:spPr>
                      <a:xfrm>
                        <a:off x="0" y="0"/>
                        <a:ext cx="1104900" cy="1676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48</w:t>
                          </w:r>
                          <w:r>
                            <w:fldChar w:fldCharType="end"/>
                          </w:r>
                          <w:r>
                            <w:t xml:space="preserve"> 页</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7.6pt;margin-top:-0.1pt;height:13.2pt;width:87pt;mso-position-horizontal-relative:margin;z-index:251659264;mso-width-relative:page;mso-height-relative:page;" filled="f" stroked="f" coordsize="21600,21600" o:gfxdata="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ScFtj2AAAAAgBAAAPAAAAAAAAAAEAIAAAACIAAABkcnMvZG93bnJldi54bWxQ&#10;SwECFAAUAAAACACHTuJACn1CNDACAABWBAAADgAAAAAAAAABACAAAAAnAQAAZHJzL2Uyb0RvYy54&#10;bWxQSwUGAAAAAAYABgBZAQAAyQUAAAAA&#10;">
              <v:fill on="f" focussize="0,0"/>
              <v:stroke on="f" weight="0.5pt"/>
              <v:imagedata o:title=""/>
              <o:lock v:ext="edit" aspectratio="f"/>
              <v:textbox inset="0mm,0mm,0mm,0mm">
                <w:txbxContent>
                  <w:p>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48</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hint="eastAsia"/>
      </w:rPr>
    </w:pPr>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hint="eastAsia"/>
      </w:rPr>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16361B"/>
    <w:multiLevelType w:val="multilevel"/>
    <w:tmpl w:val="0616361B"/>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
    <w:nsid w:val="785D51B3"/>
    <w:multiLevelType w:val="multilevel"/>
    <w:tmpl w:val="785D51B3"/>
    <w:lvl w:ilvl="0" w:tentative="0">
      <w:start w:val="8"/>
      <w:numFmt w:val="decimal"/>
      <w:lvlText w:val="%1"/>
      <w:lvlJc w:val="left"/>
      <w:pPr>
        <w:ind w:left="600" w:hanging="600"/>
      </w:pPr>
      <w:rPr>
        <w:rFonts w:hint="default"/>
      </w:rPr>
    </w:lvl>
    <w:lvl w:ilvl="1" w:tentative="0">
      <w:start w:val="1"/>
      <w:numFmt w:val="decimal"/>
      <w:lvlText w:val="%1.%2"/>
      <w:lvlJc w:val="left"/>
      <w:pPr>
        <w:ind w:left="600" w:hanging="600"/>
      </w:pPr>
      <w:rPr>
        <w:rFonts w:hint="default"/>
      </w:rPr>
    </w:lvl>
    <w:lvl w:ilvl="2" w:tentative="0">
      <w:start w:val="2"/>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800" w:hanging="180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2160"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Y3ZDhhMTNlYjdhYzYwN2ZlZjg0OTA4NGExOTcxNjAifQ=="/>
  </w:docVars>
  <w:rsids>
    <w:rsidRoot w:val="3ECD5970"/>
    <w:rsid w:val="000039EB"/>
    <w:rsid w:val="000128CE"/>
    <w:rsid w:val="0001488D"/>
    <w:rsid w:val="00022208"/>
    <w:rsid w:val="000247A5"/>
    <w:rsid w:val="00026D8E"/>
    <w:rsid w:val="0003679A"/>
    <w:rsid w:val="00042DE8"/>
    <w:rsid w:val="00051FCE"/>
    <w:rsid w:val="0005376C"/>
    <w:rsid w:val="00063610"/>
    <w:rsid w:val="0007103C"/>
    <w:rsid w:val="00074188"/>
    <w:rsid w:val="00080E48"/>
    <w:rsid w:val="000848D3"/>
    <w:rsid w:val="000970B7"/>
    <w:rsid w:val="000B1264"/>
    <w:rsid w:val="000B2AB2"/>
    <w:rsid w:val="000D0AC8"/>
    <w:rsid w:val="000D7681"/>
    <w:rsid w:val="000E3AFB"/>
    <w:rsid w:val="000F2D59"/>
    <w:rsid w:val="000F3877"/>
    <w:rsid w:val="000F3B4B"/>
    <w:rsid w:val="000F4A41"/>
    <w:rsid w:val="000F56E0"/>
    <w:rsid w:val="00105208"/>
    <w:rsid w:val="00121CCB"/>
    <w:rsid w:val="00122869"/>
    <w:rsid w:val="00125C92"/>
    <w:rsid w:val="00127101"/>
    <w:rsid w:val="001278EC"/>
    <w:rsid w:val="00140446"/>
    <w:rsid w:val="00144752"/>
    <w:rsid w:val="001601E7"/>
    <w:rsid w:val="001614E4"/>
    <w:rsid w:val="00164909"/>
    <w:rsid w:val="00164996"/>
    <w:rsid w:val="00172C55"/>
    <w:rsid w:val="00185877"/>
    <w:rsid w:val="00185D4D"/>
    <w:rsid w:val="00190668"/>
    <w:rsid w:val="00191D43"/>
    <w:rsid w:val="001934D5"/>
    <w:rsid w:val="001A0746"/>
    <w:rsid w:val="001A1AD6"/>
    <w:rsid w:val="001A32B8"/>
    <w:rsid w:val="001A6817"/>
    <w:rsid w:val="001B0EC5"/>
    <w:rsid w:val="001B3DD9"/>
    <w:rsid w:val="001B71B8"/>
    <w:rsid w:val="001B7FA0"/>
    <w:rsid w:val="001C37B9"/>
    <w:rsid w:val="001C3E8A"/>
    <w:rsid w:val="001C68CC"/>
    <w:rsid w:val="001D23EE"/>
    <w:rsid w:val="001D2852"/>
    <w:rsid w:val="001D2EAE"/>
    <w:rsid w:val="001E068E"/>
    <w:rsid w:val="001E0841"/>
    <w:rsid w:val="001E6A0B"/>
    <w:rsid w:val="001F06F9"/>
    <w:rsid w:val="002108D5"/>
    <w:rsid w:val="002110CC"/>
    <w:rsid w:val="002112DF"/>
    <w:rsid w:val="00226098"/>
    <w:rsid w:val="00250D94"/>
    <w:rsid w:val="00252AE2"/>
    <w:rsid w:val="00255A9B"/>
    <w:rsid w:val="00262F7A"/>
    <w:rsid w:val="002804E1"/>
    <w:rsid w:val="002817CE"/>
    <w:rsid w:val="00284D9A"/>
    <w:rsid w:val="002A46FB"/>
    <w:rsid w:val="002A5132"/>
    <w:rsid w:val="002A6589"/>
    <w:rsid w:val="002B1D09"/>
    <w:rsid w:val="002C2C72"/>
    <w:rsid w:val="002C6E67"/>
    <w:rsid w:val="002C745B"/>
    <w:rsid w:val="002D64B7"/>
    <w:rsid w:val="002D6ACE"/>
    <w:rsid w:val="002E197D"/>
    <w:rsid w:val="002E1C73"/>
    <w:rsid w:val="002E2D96"/>
    <w:rsid w:val="002F5F25"/>
    <w:rsid w:val="00300C40"/>
    <w:rsid w:val="0030149C"/>
    <w:rsid w:val="00302821"/>
    <w:rsid w:val="00305E35"/>
    <w:rsid w:val="00307C26"/>
    <w:rsid w:val="00307CD3"/>
    <w:rsid w:val="00310EFF"/>
    <w:rsid w:val="003119DE"/>
    <w:rsid w:val="00311AF3"/>
    <w:rsid w:val="00313EE5"/>
    <w:rsid w:val="00320C9F"/>
    <w:rsid w:val="00324AD5"/>
    <w:rsid w:val="0033139B"/>
    <w:rsid w:val="00332783"/>
    <w:rsid w:val="0033466C"/>
    <w:rsid w:val="00341407"/>
    <w:rsid w:val="0034285C"/>
    <w:rsid w:val="00346A7A"/>
    <w:rsid w:val="00346A89"/>
    <w:rsid w:val="00350DEF"/>
    <w:rsid w:val="00350EC0"/>
    <w:rsid w:val="003525B7"/>
    <w:rsid w:val="00360045"/>
    <w:rsid w:val="00360E44"/>
    <w:rsid w:val="0036121B"/>
    <w:rsid w:val="003622C4"/>
    <w:rsid w:val="00362642"/>
    <w:rsid w:val="0036265D"/>
    <w:rsid w:val="00371AFF"/>
    <w:rsid w:val="003720F2"/>
    <w:rsid w:val="003A008C"/>
    <w:rsid w:val="003B7F9C"/>
    <w:rsid w:val="003C1F6D"/>
    <w:rsid w:val="003C43F1"/>
    <w:rsid w:val="003C4518"/>
    <w:rsid w:val="003C56F8"/>
    <w:rsid w:val="003C6419"/>
    <w:rsid w:val="003C74C2"/>
    <w:rsid w:val="003D28F8"/>
    <w:rsid w:val="003D5809"/>
    <w:rsid w:val="003F75FA"/>
    <w:rsid w:val="00414733"/>
    <w:rsid w:val="0042761B"/>
    <w:rsid w:val="00427DAD"/>
    <w:rsid w:val="00434EAA"/>
    <w:rsid w:val="0043763F"/>
    <w:rsid w:val="00441793"/>
    <w:rsid w:val="00447669"/>
    <w:rsid w:val="00450B16"/>
    <w:rsid w:val="004534CB"/>
    <w:rsid w:val="0046034B"/>
    <w:rsid w:val="0046111D"/>
    <w:rsid w:val="004624FC"/>
    <w:rsid w:val="00473FC3"/>
    <w:rsid w:val="004750A5"/>
    <w:rsid w:val="00475593"/>
    <w:rsid w:val="00483020"/>
    <w:rsid w:val="00487ACE"/>
    <w:rsid w:val="004A42ED"/>
    <w:rsid w:val="004A75CE"/>
    <w:rsid w:val="004B36D9"/>
    <w:rsid w:val="004C38B1"/>
    <w:rsid w:val="004E0E55"/>
    <w:rsid w:val="004E1E3C"/>
    <w:rsid w:val="004F42A4"/>
    <w:rsid w:val="00506732"/>
    <w:rsid w:val="00512B1F"/>
    <w:rsid w:val="00515144"/>
    <w:rsid w:val="0052273A"/>
    <w:rsid w:val="00530B03"/>
    <w:rsid w:val="00551C09"/>
    <w:rsid w:val="00554737"/>
    <w:rsid w:val="00555087"/>
    <w:rsid w:val="00565158"/>
    <w:rsid w:val="0057507C"/>
    <w:rsid w:val="005841F4"/>
    <w:rsid w:val="00584982"/>
    <w:rsid w:val="00585799"/>
    <w:rsid w:val="005971D0"/>
    <w:rsid w:val="005A6267"/>
    <w:rsid w:val="005A6929"/>
    <w:rsid w:val="005A7E5E"/>
    <w:rsid w:val="005B3E20"/>
    <w:rsid w:val="005B4910"/>
    <w:rsid w:val="005C29E1"/>
    <w:rsid w:val="005F37E2"/>
    <w:rsid w:val="005F39D0"/>
    <w:rsid w:val="005F78F3"/>
    <w:rsid w:val="0060070F"/>
    <w:rsid w:val="006241BF"/>
    <w:rsid w:val="00630EAF"/>
    <w:rsid w:val="00636962"/>
    <w:rsid w:val="006424D0"/>
    <w:rsid w:val="00644E74"/>
    <w:rsid w:val="00664432"/>
    <w:rsid w:val="00670A60"/>
    <w:rsid w:val="006A1DAD"/>
    <w:rsid w:val="006A1FAD"/>
    <w:rsid w:val="006A482E"/>
    <w:rsid w:val="006A4909"/>
    <w:rsid w:val="006B2CB1"/>
    <w:rsid w:val="006B3ECF"/>
    <w:rsid w:val="006B7B1E"/>
    <w:rsid w:val="006C041A"/>
    <w:rsid w:val="006C08A2"/>
    <w:rsid w:val="006D5357"/>
    <w:rsid w:val="006D652A"/>
    <w:rsid w:val="006E3E50"/>
    <w:rsid w:val="006E6A4D"/>
    <w:rsid w:val="006E76BC"/>
    <w:rsid w:val="007002F1"/>
    <w:rsid w:val="00704E95"/>
    <w:rsid w:val="0071312A"/>
    <w:rsid w:val="00714572"/>
    <w:rsid w:val="00714EE9"/>
    <w:rsid w:val="007235AA"/>
    <w:rsid w:val="00724AAC"/>
    <w:rsid w:val="0073758A"/>
    <w:rsid w:val="007400FA"/>
    <w:rsid w:val="00745FF4"/>
    <w:rsid w:val="00751531"/>
    <w:rsid w:val="00755C35"/>
    <w:rsid w:val="00755D05"/>
    <w:rsid w:val="00766C77"/>
    <w:rsid w:val="0076773C"/>
    <w:rsid w:val="00776B5B"/>
    <w:rsid w:val="00776D42"/>
    <w:rsid w:val="00781F49"/>
    <w:rsid w:val="007837C5"/>
    <w:rsid w:val="00783B4C"/>
    <w:rsid w:val="00786DD5"/>
    <w:rsid w:val="0079236A"/>
    <w:rsid w:val="00794FA9"/>
    <w:rsid w:val="007B5926"/>
    <w:rsid w:val="007C2578"/>
    <w:rsid w:val="007D170E"/>
    <w:rsid w:val="007D78F5"/>
    <w:rsid w:val="007E2C45"/>
    <w:rsid w:val="007E66F9"/>
    <w:rsid w:val="007E709D"/>
    <w:rsid w:val="007F2545"/>
    <w:rsid w:val="007F5DFC"/>
    <w:rsid w:val="00800BA8"/>
    <w:rsid w:val="00804A9B"/>
    <w:rsid w:val="00804F3F"/>
    <w:rsid w:val="00805EF7"/>
    <w:rsid w:val="0080738A"/>
    <w:rsid w:val="00814128"/>
    <w:rsid w:val="00815D8D"/>
    <w:rsid w:val="008251A5"/>
    <w:rsid w:val="00831072"/>
    <w:rsid w:val="008417F1"/>
    <w:rsid w:val="008444F0"/>
    <w:rsid w:val="00845A42"/>
    <w:rsid w:val="00847DFA"/>
    <w:rsid w:val="00860F95"/>
    <w:rsid w:val="00866627"/>
    <w:rsid w:val="00871CAC"/>
    <w:rsid w:val="0089786E"/>
    <w:rsid w:val="008A4DA0"/>
    <w:rsid w:val="008C003A"/>
    <w:rsid w:val="008E107C"/>
    <w:rsid w:val="008F069B"/>
    <w:rsid w:val="008F7E68"/>
    <w:rsid w:val="009100AF"/>
    <w:rsid w:val="0091010B"/>
    <w:rsid w:val="00912024"/>
    <w:rsid w:val="00912FBB"/>
    <w:rsid w:val="00920F70"/>
    <w:rsid w:val="00941414"/>
    <w:rsid w:val="00944E28"/>
    <w:rsid w:val="0095052D"/>
    <w:rsid w:val="009566EA"/>
    <w:rsid w:val="00957D8F"/>
    <w:rsid w:val="009658E0"/>
    <w:rsid w:val="00966D32"/>
    <w:rsid w:val="00967998"/>
    <w:rsid w:val="00973480"/>
    <w:rsid w:val="00975769"/>
    <w:rsid w:val="00987BD9"/>
    <w:rsid w:val="009A21B9"/>
    <w:rsid w:val="009A74E3"/>
    <w:rsid w:val="009D0DF7"/>
    <w:rsid w:val="009D1FDD"/>
    <w:rsid w:val="009E1716"/>
    <w:rsid w:val="009F09F1"/>
    <w:rsid w:val="009F25FF"/>
    <w:rsid w:val="009F5589"/>
    <w:rsid w:val="009F6068"/>
    <w:rsid w:val="00A10275"/>
    <w:rsid w:val="00A1302D"/>
    <w:rsid w:val="00A20119"/>
    <w:rsid w:val="00A22A9C"/>
    <w:rsid w:val="00A250FE"/>
    <w:rsid w:val="00A333D4"/>
    <w:rsid w:val="00A34368"/>
    <w:rsid w:val="00A36453"/>
    <w:rsid w:val="00A42534"/>
    <w:rsid w:val="00A53D7B"/>
    <w:rsid w:val="00A54284"/>
    <w:rsid w:val="00A57A25"/>
    <w:rsid w:val="00A60ABF"/>
    <w:rsid w:val="00A64AF2"/>
    <w:rsid w:val="00A77984"/>
    <w:rsid w:val="00A82B1B"/>
    <w:rsid w:val="00A82B5E"/>
    <w:rsid w:val="00A90F97"/>
    <w:rsid w:val="00A955A6"/>
    <w:rsid w:val="00AA4813"/>
    <w:rsid w:val="00AA6D72"/>
    <w:rsid w:val="00AB237D"/>
    <w:rsid w:val="00AB4A8A"/>
    <w:rsid w:val="00AB4EC2"/>
    <w:rsid w:val="00AB5363"/>
    <w:rsid w:val="00AB6AB8"/>
    <w:rsid w:val="00AC4EAD"/>
    <w:rsid w:val="00AC5E63"/>
    <w:rsid w:val="00AC7CAB"/>
    <w:rsid w:val="00AD0EBB"/>
    <w:rsid w:val="00AD554F"/>
    <w:rsid w:val="00AD5BBB"/>
    <w:rsid w:val="00AD6652"/>
    <w:rsid w:val="00AD6799"/>
    <w:rsid w:val="00AE208D"/>
    <w:rsid w:val="00AF143B"/>
    <w:rsid w:val="00AF3117"/>
    <w:rsid w:val="00AF4338"/>
    <w:rsid w:val="00AF67B9"/>
    <w:rsid w:val="00B00B1D"/>
    <w:rsid w:val="00B02C3C"/>
    <w:rsid w:val="00B04F83"/>
    <w:rsid w:val="00B06E97"/>
    <w:rsid w:val="00B07699"/>
    <w:rsid w:val="00B13291"/>
    <w:rsid w:val="00B22DA8"/>
    <w:rsid w:val="00B260C7"/>
    <w:rsid w:val="00B332A7"/>
    <w:rsid w:val="00B40027"/>
    <w:rsid w:val="00B43C93"/>
    <w:rsid w:val="00B5132D"/>
    <w:rsid w:val="00B57550"/>
    <w:rsid w:val="00B6070A"/>
    <w:rsid w:val="00B73FA0"/>
    <w:rsid w:val="00B76FBF"/>
    <w:rsid w:val="00B87EF6"/>
    <w:rsid w:val="00B91FDE"/>
    <w:rsid w:val="00B9513D"/>
    <w:rsid w:val="00BB656C"/>
    <w:rsid w:val="00BC03DA"/>
    <w:rsid w:val="00BC1B6F"/>
    <w:rsid w:val="00BD14C5"/>
    <w:rsid w:val="00BD2DFB"/>
    <w:rsid w:val="00BE3EED"/>
    <w:rsid w:val="00BF3679"/>
    <w:rsid w:val="00C134D3"/>
    <w:rsid w:val="00C16877"/>
    <w:rsid w:val="00C16BE3"/>
    <w:rsid w:val="00C21876"/>
    <w:rsid w:val="00C221FC"/>
    <w:rsid w:val="00C2322A"/>
    <w:rsid w:val="00C23A37"/>
    <w:rsid w:val="00C26093"/>
    <w:rsid w:val="00C30722"/>
    <w:rsid w:val="00C32521"/>
    <w:rsid w:val="00C45B57"/>
    <w:rsid w:val="00C53CC5"/>
    <w:rsid w:val="00C554CC"/>
    <w:rsid w:val="00C622BA"/>
    <w:rsid w:val="00C6541F"/>
    <w:rsid w:val="00C76730"/>
    <w:rsid w:val="00C8247D"/>
    <w:rsid w:val="00C9674F"/>
    <w:rsid w:val="00CA3FB8"/>
    <w:rsid w:val="00CA4068"/>
    <w:rsid w:val="00CA6FA8"/>
    <w:rsid w:val="00CA7C5C"/>
    <w:rsid w:val="00CB045D"/>
    <w:rsid w:val="00CB0867"/>
    <w:rsid w:val="00CB7772"/>
    <w:rsid w:val="00CC2749"/>
    <w:rsid w:val="00CC2AAA"/>
    <w:rsid w:val="00CC6B0C"/>
    <w:rsid w:val="00CD3ECC"/>
    <w:rsid w:val="00CF57A0"/>
    <w:rsid w:val="00D0370F"/>
    <w:rsid w:val="00D0427A"/>
    <w:rsid w:val="00D05366"/>
    <w:rsid w:val="00D07E58"/>
    <w:rsid w:val="00D12BDC"/>
    <w:rsid w:val="00D22D1B"/>
    <w:rsid w:val="00D25AB9"/>
    <w:rsid w:val="00D276E9"/>
    <w:rsid w:val="00D278B8"/>
    <w:rsid w:val="00D3341C"/>
    <w:rsid w:val="00D4139D"/>
    <w:rsid w:val="00D41CF4"/>
    <w:rsid w:val="00D5183A"/>
    <w:rsid w:val="00D52D47"/>
    <w:rsid w:val="00D82D62"/>
    <w:rsid w:val="00D83A4C"/>
    <w:rsid w:val="00D92904"/>
    <w:rsid w:val="00D943FE"/>
    <w:rsid w:val="00D963DC"/>
    <w:rsid w:val="00DB5F9C"/>
    <w:rsid w:val="00DC5766"/>
    <w:rsid w:val="00DC5A8D"/>
    <w:rsid w:val="00DC7D64"/>
    <w:rsid w:val="00DE5B2B"/>
    <w:rsid w:val="00DF5F54"/>
    <w:rsid w:val="00E02F65"/>
    <w:rsid w:val="00E06FE2"/>
    <w:rsid w:val="00E12174"/>
    <w:rsid w:val="00E14E64"/>
    <w:rsid w:val="00E30094"/>
    <w:rsid w:val="00E368F0"/>
    <w:rsid w:val="00E417F3"/>
    <w:rsid w:val="00E53348"/>
    <w:rsid w:val="00E53B4A"/>
    <w:rsid w:val="00E61FD5"/>
    <w:rsid w:val="00E628F4"/>
    <w:rsid w:val="00E67B8D"/>
    <w:rsid w:val="00E7165D"/>
    <w:rsid w:val="00E75183"/>
    <w:rsid w:val="00E77563"/>
    <w:rsid w:val="00E82451"/>
    <w:rsid w:val="00E85D37"/>
    <w:rsid w:val="00E90B98"/>
    <w:rsid w:val="00E9356C"/>
    <w:rsid w:val="00E973AD"/>
    <w:rsid w:val="00EA056E"/>
    <w:rsid w:val="00EA5822"/>
    <w:rsid w:val="00EB6F4F"/>
    <w:rsid w:val="00EC55BA"/>
    <w:rsid w:val="00EC5EBC"/>
    <w:rsid w:val="00ED2871"/>
    <w:rsid w:val="00ED36B8"/>
    <w:rsid w:val="00ED7BDE"/>
    <w:rsid w:val="00EE443E"/>
    <w:rsid w:val="00EF0A12"/>
    <w:rsid w:val="00EF3BA8"/>
    <w:rsid w:val="00EF4A76"/>
    <w:rsid w:val="00F037AD"/>
    <w:rsid w:val="00F04FEF"/>
    <w:rsid w:val="00F073F6"/>
    <w:rsid w:val="00F117ED"/>
    <w:rsid w:val="00F175CB"/>
    <w:rsid w:val="00F178A5"/>
    <w:rsid w:val="00F32CDB"/>
    <w:rsid w:val="00F5017C"/>
    <w:rsid w:val="00F54E02"/>
    <w:rsid w:val="00F60F31"/>
    <w:rsid w:val="00F66F8D"/>
    <w:rsid w:val="00F82F03"/>
    <w:rsid w:val="00FA7744"/>
    <w:rsid w:val="00FB1238"/>
    <w:rsid w:val="00FB1C25"/>
    <w:rsid w:val="00FB266A"/>
    <w:rsid w:val="00FB3C68"/>
    <w:rsid w:val="00FB74B2"/>
    <w:rsid w:val="00FB7840"/>
    <w:rsid w:val="00FC24DC"/>
    <w:rsid w:val="00FE5103"/>
    <w:rsid w:val="00FE6A4E"/>
    <w:rsid w:val="00FF2717"/>
    <w:rsid w:val="00FF72D1"/>
    <w:rsid w:val="01A26771"/>
    <w:rsid w:val="03667C72"/>
    <w:rsid w:val="050D65F7"/>
    <w:rsid w:val="055E6E53"/>
    <w:rsid w:val="07A54B0B"/>
    <w:rsid w:val="08204893"/>
    <w:rsid w:val="08487F22"/>
    <w:rsid w:val="08CF1E16"/>
    <w:rsid w:val="0A743046"/>
    <w:rsid w:val="0C601702"/>
    <w:rsid w:val="0C9327B6"/>
    <w:rsid w:val="0DE620DB"/>
    <w:rsid w:val="0E545297"/>
    <w:rsid w:val="0F84395A"/>
    <w:rsid w:val="0F9D4A1B"/>
    <w:rsid w:val="114333A1"/>
    <w:rsid w:val="136441CE"/>
    <w:rsid w:val="13B567D8"/>
    <w:rsid w:val="14A30D26"/>
    <w:rsid w:val="14D7277E"/>
    <w:rsid w:val="15347BD0"/>
    <w:rsid w:val="15A00DC2"/>
    <w:rsid w:val="15F07F9B"/>
    <w:rsid w:val="15F13B8A"/>
    <w:rsid w:val="16300397"/>
    <w:rsid w:val="17DB4333"/>
    <w:rsid w:val="18E436BB"/>
    <w:rsid w:val="1AC76DF0"/>
    <w:rsid w:val="1AD5150D"/>
    <w:rsid w:val="1BD01CD5"/>
    <w:rsid w:val="1DE2466D"/>
    <w:rsid w:val="1F7A08D5"/>
    <w:rsid w:val="1FC87893"/>
    <w:rsid w:val="200D5945"/>
    <w:rsid w:val="217F6677"/>
    <w:rsid w:val="21BD1E5C"/>
    <w:rsid w:val="23A9016E"/>
    <w:rsid w:val="23A979DB"/>
    <w:rsid w:val="25A641D2"/>
    <w:rsid w:val="25B61F3B"/>
    <w:rsid w:val="25C40884"/>
    <w:rsid w:val="25E76599"/>
    <w:rsid w:val="25ED1E01"/>
    <w:rsid w:val="260D5FFF"/>
    <w:rsid w:val="26E52AD8"/>
    <w:rsid w:val="280671AA"/>
    <w:rsid w:val="28416434"/>
    <w:rsid w:val="29B969A5"/>
    <w:rsid w:val="2ED33B5E"/>
    <w:rsid w:val="2F3A598B"/>
    <w:rsid w:val="30DC319E"/>
    <w:rsid w:val="30E958BB"/>
    <w:rsid w:val="31815AF3"/>
    <w:rsid w:val="319E66A5"/>
    <w:rsid w:val="31C51E84"/>
    <w:rsid w:val="337A0A4C"/>
    <w:rsid w:val="34F760D5"/>
    <w:rsid w:val="352C5D76"/>
    <w:rsid w:val="362409F2"/>
    <w:rsid w:val="37EB3CC7"/>
    <w:rsid w:val="38A65E3F"/>
    <w:rsid w:val="3AF235BE"/>
    <w:rsid w:val="3B255741"/>
    <w:rsid w:val="3E1A5306"/>
    <w:rsid w:val="3E895FE7"/>
    <w:rsid w:val="3EB5502E"/>
    <w:rsid w:val="3ECD5970"/>
    <w:rsid w:val="3F4C7741"/>
    <w:rsid w:val="3F4F5483"/>
    <w:rsid w:val="3F7F2D41"/>
    <w:rsid w:val="3FA7706D"/>
    <w:rsid w:val="41B24ED8"/>
    <w:rsid w:val="42C910A8"/>
    <w:rsid w:val="442C18EF"/>
    <w:rsid w:val="44A21BB1"/>
    <w:rsid w:val="451F3201"/>
    <w:rsid w:val="4729480B"/>
    <w:rsid w:val="474653BD"/>
    <w:rsid w:val="48480CC1"/>
    <w:rsid w:val="49F509D5"/>
    <w:rsid w:val="4A370FED"/>
    <w:rsid w:val="4BA83F51"/>
    <w:rsid w:val="4CF51418"/>
    <w:rsid w:val="4D597930"/>
    <w:rsid w:val="4DD454D1"/>
    <w:rsid w:val="4EB726FD"/>
    <w:rsid w:val="4FF62B3F"/>
    <w:rsid w:val="522D51B0"/>
    <w:rsid w:val="52BC112C"/>
    <w:rsid w:val="52D7511B"/>
    <w:rsid w:val="538C5F06"/>
    <w:rsid w:val="55466588"/>
    <w:rsid w:val="5583158B"/>
    <w:rsid w:val="56262AD0"/>
    <w:rsid w:val="57831D16"/>
    <w:rsid w:val="582157B7"/>
    <w:rsid w:val="583E1DE6"/>
    <w:rsid w:val="58931AE5"/>
    <w:rsid w:val="58DF4D2A"/>
    <w:rsid w:val="58FE78A6"/>
    <w:rsid w:val="59A10AFD"/>
    <w:rsid w:val="5C5509F2"/>
    <w:rsid w:val="5C8C6F77"/>
    <w:rsid w:val="5E2753FD"/>
    <w:rsid w:val="605C4EB2"/>
    <w:rsid w:val="61774699"/>
    <w:rsid w:val="629B43B7"/>
    <w:rsid w:val="63041F5D"/>
    <w:rsid w:val="636367D0"/>
    <w:rsid w:val="65801643"/>
    <w:rsid w:val="65BA4B55"/>
    <w:rsid w:val="677B0314"/>
    <w:rsid w:val="677B6565"/>
    <w:rsid w:val="679F2254"/>
    <w:rsid w:val="694A548C"/>
    <w:rsid w:val="69B1626F"/>
    <w:rsid w:val="69CE0BCF"/>
    <w:rsid w:val="69EC54F9"/>
    <w:rsid w:val="6A356EA0"/>
    <w:rsid w:val="6D45564C"/>
    <w:rsid w:val="6D527D69"/>
    <w:rsid w:val="6DC96001"/>
    <w:rsid w:val="6E5518BE"/>
    <w:rsid w:val="6E8C2E06"/>
    <w:rsid w:val="6FE56C72"/>
    <w:rsid w:val="715A543E"/>
    <w:rsid w:val="72031631"/>
    <w:rsid w:val="72CE1C3F"/>
    <w:rsid w:val="756D63B5"/>
    <w:rsid w:val="770C71DA"/>
    <w:rsid w:val="77626DFA"/>
    <w:rsid w:val="77FBE266"/>
    <w:rsid w:val="78C7160B"/>
    <w:rsid w:val="791B54B2"/>
    <w:rsid w:val="79492020"/>
    <w:rsid w:val="79DD09BA"/>
    <w:rsid w:val="7B1B79EC"/>
    <w:rsid w:val="7BAC2D3A"/>
    <w:rsid w:val="7C1032C9"/>
    <w:rsid w:val="7C224DAA"/>
    <w:rsid w:val="7D180687"/>
    <w:rsid w:val="7DA0067C"/>
    <w:rsid w:val="7DE247F1"/>
    <w:rsid w:val="7E3C1835"/>
    <w:rsid w:val="7E4B683A"/>
    <w:rsid w:val="7F985AAF"/>
    <w:rsid w:val="BBAFB8FF"/>
    <w:rsid w:val="BDFD7671"/>
    <w:rsid w:val="EB7FE7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0"/>
    <w:qFormat/>
    <w:uiPriority w:val="0"/>
    <w:pPr>
      <w:ind w:left="100" w:leftChars="2500"/>
    </w:pPr>
  </w:style>
  <w:style w:type="paragraph" w:styleId="3">
    <w:name w:val="footer"/>
    <w:basedOn w:val="1"/>
    <w:link w:val="12"/>
    <w:qFormat/>
    <w:uiPriority w:val="0"/>
    <w:pPr>
      <w:tabs>
        <w:tab w:val="center" w:pos="4153"/>
        <w:tab w:val="right" w:pos="8306"/>
      </w:tabs>
      <w:snapToGrid w:val="0"/>
      <w:jc w:val="left"/>
    </w:pPr>
    <w:rPr>
      <w:sz w:val="18"/>
    </w:rPr>
  </w:style>
  <w:style w:type="paragraph" w:styleId="4">
    <w:name w:val="header"/>
    <w:basedOn w:val="1"/>
    <w:link w:val="1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font51"/>
    <w:basedOn w:val="7"/>
    <w:qFormat/>
    <w:uiPriority w:val="0"/>
    <w:rPr>
      <w:rFonts w:hint="eastAsia" w:ascii="仿宋" w:hAnsi="仿宋" w:eastAsia="仿宋" w:cs="仿宋"/>
      <w:color w:val="000000"/>
      <w:sz w:val="24"/>
      <w:szCs w:val="24"/>
      <w:u w:val="none"/>
    </w:rPr>
  </w:style>
  <w:style w:type="paragraph" w:styleId="9">
    <w:name w:val="List Paragraph"/>
    <w:basedOn w:val="1"/>
    <w:unhideWhenUsed/>
    <w:qFormat/>
    <w:uiPriority w:val="34"/>
    <w:pPr>
      <w:ind w:firstLine="420" w:firstLineChars="200"/>
    </w:pPr>
  </w:style>
  <w:style w:type="character" w:customStyle="1" w:styleId="10">
    <w:name w:val="日期 字符"/>
    <w:basedOn w:val="7"/>
    <w:link w:val="2"/>
    <w:qFormat/>
    <w:uiPriority w:val="0"/>
    <w:rPr>
      <w:rFonts w:asciiTheme="minorHAnsi" w:hAnsiTheme="minorHAnsi" w:eastAsiaTheme="minorEastAsia" w:cstheme="minorBidi"/>
      <w:kern w:val="2"/>
      <w:sz w:val="21"/>
      <w:szCs w:val="24"/>
    </w:rPr>
  </w:style>
  <w:style w:type="character" w:customStyle="1" w:styleId="11">
    <w:name w:val="页眉 字符"/>
    <w:link w:val="4"/>
    <w:qFormat/>
    <w:uiPriority w:val="99"/>
    <w:rPr>
      <w:rFonts w:asciiTheme="minorHAnsi" w:hAnsiTheme="minorHAnsi" w:eastAsiaTheme="minorEastAsia" w:cstheme="minorBidi"/>
      <w:kern w:val="2"/>
      <w:sz w:val="18"/>
      <w:szCs w:val="24"/>
    </w:rPr>
  </w:style>
  <w:style w:type="character" w:customStyle="1" w:styleId="12">
    <w:name w:val="页脚 字符"/>
    <w:link w:val="3"/>
    <w:qFormat/>
    <w:uiPriority w:val="0"/>
    <w:rPr>
      <w:rFonts w:asciiTheme="minorHAnsi" w:hAnsiTheme="minorHAnsi" w:eastAsiaTheme="minorEastAsia" w:cstheme="minorBidi"/>
      <w:kern w:val="2"/>
      <w:sz w:val="18"/>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9916</Words>
  <Characters>1256</Characters>
  <Lines>10</Lines>
  <Paragraphs>22</Paragraphs>
  <TotalTime>3</TotalTime>
  <ScaleCrop>false</ScaleCrop>
  <LinksUpToDate>false</LinksUpToDate>
  <CharactersWithSpaces>11150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2023-09-22T01:09:00Z</dcterms:created>
  <dc:creator>GTTC</dc:creator>
  <cp:lastModifiedBy>叶菲</cp:lastModifiedBy>
  <cp:lastPrinted>2023-07-19T14:26:00Z</cp:lastPrinted>
  <dcterms:modified xsi:type="dcterms:W3CDTF">2023-09-28T02:17:56Z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ribbonExt">
    <vt:lpwstr>{"WPSExtOfficeTab":{"OnGetEnabled":false,"OnGetVisible":false}}</vt:lpwstr>
  </property>
  <property fmtid="{D5CDD505-2E9C-101B-9397-08002B2CF9AE}" pid="4" name="ICV">
    <vt:lpwstr>4159F34C9A6544ECAD56704ED3E537BF_13</vt:lpwstr>
  </property>
</Properties>
</file>